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517" w:rsidRPr="007A24D6" w:rsidRDefault="00CE1517" w:rsidP="00D21EAB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  <w:r w:rsidRPr="007A24D6">
        <w:rPr>
          <w:rFonts w:ascii="Times New Roman" w:hAnsi="Times New Roman" w:cs="Times New Roman"/>
        </w:rPr>
        <w:t>Załącznik B.47.</w:t>
      </w:r>
    </w:p>
    <w:p w:rsidR="00CE1517" w:rsidRPr="003E7ACE" w:rsidRDefault="00CE1517" w:rsidP="007A24D6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E1517" w:rsidRPr="007A24D6" w:rsidRDefault="00CE1517" w:rsidP="007A24D6">
      <w:pPr>
        <w:spacing w:after="240"/>
        <w:rPr>
          <w:rFonts w:ascii="Times New Roman" w:hAnsi="Times New Roman" w:cs="Times New Roman"/>
          <w:b/>
          <w:bCs/>
          <w:sz w:val="28"/>
          <w:szCs w:val="28"/>
        </w:rPr>
      </w:pPr>
      <w:r w:rsidRPr="007A24D6">
        <w:rPr>
          <w:rFonts w:ascii="Times New Roman" w:hAnsi="Times New Roman" w:cs="Times New Roman"/>
          <w:b/>
          <w:bCs/>
          <w:sz w:val="28"/>
          <w:szCs w:val="28"/>
        </w:rPr>
        <w:t xml:space="preserve">LECZENIE </w:t>
      </w:r>
      <w:r w:rsidR="00E97D29" w:rsidRPr="007A24D6">
        <w:rPr>
          <w:rFonts w:ascii="Times New Roman" w:hAnsi="Times New Roman" w:cs="Times New Roman"/>
          <w:b/>
          <w:bCs/>
          <w:sz w:val="28"/>
          <w:szCs w:val="28"/>
        </w:rPr>
        <w:t xml:space="preserve">UMIARKOWANEJ I </w:t>
      </w:r>
      <w:r w:rsidRPr="007A24D6">
        <w:rPr>
          <w:rFonts w:ascii="Times New Roman" w:hAnsi="Times New Roman" w:cs="Times New Roman"/>
          <w:b/>
          <w:bCs/>
          <w:sz w:val="28"/>
          <w:szCs w:val="28"/>
        </w:rPr>
        <w:t>CIĘŻKIEJ  POSTACI  ŁUSZCZYCY  PLACKOWATEJ (ICD-10   L 40.0)</w:t>
      </w:r>
    </w:p>
    <w:tbl>
      <w:tblPr>
        <w:tblW w:w="4983" w:type="pct"/>
        <w:tblLook w:val="0000" w:firstRow="0" w:lastRow="0" w:firstColumn="0" w:lastColumn="0" w:noHBand="0" w:noVBand="0"/>
      </w:tblPr>
      <w:tblGrid>
        <w:gridCol w:w="5350"/>
        <w:gridCol w:w="4964"/>
        <w:gridCol w:w="5247"/>
      </w:tblGrid>
      <w:tr w:rsidR="00451F97" w:rsidRPr="0051233B" w:rsidTr="00C41EBE">
        <w:trPr>
          <w:trHeight w:val="366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F97" w:rsidRPr="003E7ACE" w:rsidRDefault="00451F97" w:rsidP="003E7A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451F97" w:rsidRPr="0051233B" w:rsidTr="00C41EBE"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F97" w:rsidRPr="003E7ACE" w:rsidRDefault="00451F97" w:rsidP="003E7A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F97" w:rsidRPr="003E7ACE" w:rsidRDefault="00451F97" w:rsidP="003E7A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SCHEMAT DAWKOWANIA LEK</w:t>
            </w:r>
            <w:r w:rsidR="00987021" w:rsidRPr="003E7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ÓW</w:t>
            </w:r>
            <w:r w:rsidRPr="003E7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W PROGRAMIE</w:t>
            </w:r>
          </w:p>
        </w:tc>
        <w:tc>
          <w:tcPr>
            <w:tcW w:w="1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F97" w:rsidRPr="005D6155" w:rsidRDefault="00451F97" w:rsidP="003E7A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 DIAGNOSTYCZNE WYKONYWANE W RAMACH PROGRAMU</w:t>
            </w:r>
          </w:p>
        </w:tc>
      </w:tr>
      <w:tr w:rsidR="00451F97" w:rsidRPr="0051233B" w:rsidTr="00C41EBE">
        <w:trPr>
          <w:trHeight w:val="2267"/>
        </w:trPr>
        <w:tc>
          <w:tcPr>
            <w:tcW w:w="1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F97" w:rsidRDefault="00451F97" w:rsidP="003E7ACE">
            <w:pPr>
              <w:numPr>
                <w:ilvl w:val="0"/>
                <w:numId w:val="1"/>
              </w:numPr>
              <w:spacing w:after="0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 kwalifikacji</w:t>
            </w:r>
            <w:r w:rsidR="00502095" w:rsidRPr="003E7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:rsidR="00F735E1" w:rsidRPr="003E7ACE" w:rsidRDefault="00F735E1" w:rsidP="00F735E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2840EE" w:rsidRPr="0051233B" w:rsidRDefault="002840EE" w:rsidP="00E97D29">
            <w:pPr>
              <w:pStyle w:val="Akapitzlist"/>
              <w:numPr>
                <w:ilvl w:val="0"/>
                <w:numId w:val="22"/>
              </w:numPr>
              <w:tabs>
                <w:tab w:val="left" w:pos="-4253"/>
              </w:tabs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Pacjent jest kwalifikowany do programu</w:t>
            </w:r>
            <w:r w:rsidR="003663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przez Zespół Koordynacyjny do Spraw Leczenia Biolog</w:t>
            </w:r>
            <w:r w:rsidR="00A45FB9">
              <w:rPr>
                <w:rFonts w:ascii="Times New Roman" w:hAnsi="Times New Roman" w:cs="Times New Roman"/>
                <w:sz w:val="20"/>
                <w:szCs w:val="20"/>
              </w:rPr>
              <w:t>icznego w Łuszczycy Plackowatej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powoływany przez Prezesa Narodowego Funduszu Zdrowia.</w:t>
            </w:r>
            <w:r w:rsidR="00586E68">
              <w:t xml:space="preserve"> </w:t>
            </w:r>
            <w:r w:rsidR="00586E68">
              <w:rPr>
                <w:rFonts w:ascii="Times New Roman" w:hAnsi="Times New Roman" w:cs="Times New Roman"/>
                <w:sz w:val="20"/>
                <w:szCs w:val="20"/>
              </w:rPr>
              <w:t>Zgłoszenie pacjenta</w:t>
            </w:r>
            <w:r w:rsidR="00586E68" w:rsidRPr="00586E68">
              <w:rPr>
                <w:rFonts w:ascii="Times New Roman" w:hAnsi="Times New Roman" w:cs="Times New Roman"/>
                <w:sz w:val="20"/>
                <w:szCs w:val="20"/>
              </w:rPr>
              <w:t xml:space="preserve"> do kwalifikacji </w:t>
            </w:r>
            <w:r w:rsidR="00586E68">
              <w:rPr>
                <w:rFonts w:ascii="Times New Roman" w:hAnsi="Times New Roman" w:cs="Times New Roman"/>
                <w:sz w:val="20"/>
                <w:szCs w:val="20"/>
              </w:rPr>
              <w:t xml:space="preserve">odbywa się </w:t>
            </w:r>
            <w:r w:rsidR="00586E68" w:rsidRPr="00586E68">
              <w:rPr>
                <w:rFonts w:ascii="Times New Roman" w:hAnsi="Times New Roman" w:cs="Times New Roman"/>
                <w:sz w:val="20"/>
                <w:szCs w:val="20"/>
              </w:rPr>
              <w:t>za pośrednictwem aplikacji komputerowej wskazanej przez Prezesa Narodowego Funduszu Zdrowia.</w:t>
            </w:r>
            <w:r w:rsidR="00586E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51F97" w:rsidRPr="0051233B" w:rsidRDefault="00451F97" w:rsidP="00E97D29">
            <w:pPr>
              <w:pStyle w:val="Akapitzlist"/>
              <w:numPr>
                <w:ilvl w:val="0"/>
                <w:numId w:val="22"/>
              </w:numPr>
              <w:tabs>
                <w:tab w:val="left" w:pos="-4253"/>
              </w:tabs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Do programu kwalifik</w:t>
            </w:r>
            <w:r w:rsidR="00586E68">
              <w:rPr>
                <w:rFonts w:ascii="Times New Roman" w:hAnsi="Times New Roman" w:cs="Times New Roman"/>
                <w:sz w:val="20"/>
                <w:szCs w:val="20"/>
              </w:rPr>
              <w:t xml:space="preserve">owani są 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pacjen</w:t>
            </w:r>
            <w:r w:rsidR="00586E68">
              <w:rPr>
                <w:rFonts w:ascii="Times New Roman" w:hAnsi="Times New Roman" w:cs="Times New Roman"/>
                <w:sz w:val="20"/>
                <w:szCs w:val="20"/>
              </w:rPr>
              <w:t>ci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spełniający łącznie następujące kryteria:</w:t>
            </w:r>
          </w:p>
          <w:p w:rsidR="00DF4087" w:rsidRDefault="00D277B4" w:rsidP="00E97D29">
            <w:pPr>
              <w:numPr>
                <w:ilvl w:val="0"/>
                <w:numId w:val="4"/>
              </w:numPr>
              <w:tabs>
                <w:tab w:val="left" w:pos="567"/>
              </w:tabs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DF4087">
              <w:rPr>
                <w:rFonts w:ascii="Times New Roman" w:hAnsi="Times New Roman" w:cs="Times New Roman"/>
                <w:sz w:val="20"/>
                <w:szCs w:val="20"/>
              </w:rPr>
              <w:t xml:space="preserve"> w wieku:</w:t>
            </w:r>
          </w:p>
          <w:p w:rsidR="00DF4087" w:rsidRPr="00DF4087" w:rsidRDefault="00D277B4" w:rsidP="00E97D29">
            <w:pPr>
              <w:pStyle w:val="Akapitzlist"/>
              <w:numPr>
                <w:ilvl w:val="0"/>
                <w:numId w:val="25"/>
              </w:numPr>
              <w:tabs>
                <w:tab w:val="left" w:pos="709"/>
              </w:tabs>
              <w:spacing w:after="0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087">
              <w:rPr>
                <w:rFonts w:ascii="Times New Roman" w:hAnsi="Times New Roman" w:cs="Times New Roman"/>
                <w:sz w:val="20"/>
                <w:szCs w:val="20"/>
              </w:rPr>
              <w:t>18 lat i powyżej albo</w:t>
            </w:r>
          </w:p>
          <w:p w:rsidR="00D277B4" w:rsidRPr="00DF4087" w:rsidRDefault="00A45FB9" w:rsidP="00E97D29">
            <w:pPr>
              <w:pStyle w:val="Akapitzlist"/>
              <w:numPr>
                <w:ilvl w:val="0"/>
                <w:numId w:val="25"/>
              </w:numPr>
              <w:tabs>
                <w:tab w:val="left" w:pos="709"/>
              </w:tabs>
              <w:spacing w:after="0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4087">
              <w:rPr>
                <w:rFonts w:ascii="Times New Roman" w:hAnsi="Times New Roman" w:cs="Times New Roman"/>
                <w:sz w:val="20"/>
                <w:szCs w:val="20"/>
              </w:rPr>
              <w:t>6 lat i powyżej -</w:t>
            </w:r>
            <w:r w:rsidR="002840EE" w:rsidRPr="00DF4087">
              <w:rPr>
                <w:rFonts w:ascii="Times New Roman" w:hAnsi="Times New Roman" w:cs="Times New Roman"/>
                <w:sz w:val="20"/>
                <w:szCs w:val="20"/>
              </w:rPr>
              <w:t xml:space="preserve"> w przypadku kwalifikacji do terapii etanerceptem;</w:t>
            </w:r>
          </w:p>
          <w:p w:rsidR="002A29A3" w:rsidRDefault="00451F97" w:rsidP="00E97D29">
            <w:pPr>
              <w:numPr>
                <w:ilvl w:val="0"/>
                <w:numId w:val="4"/>
              </w:num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2A29A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2A29A3" w:rsidRPr="002A29A3" w:rsidRDefault="00451F97" w:rsidP="00E97D29">
            <w:pPr>
              <w:pStyle w:val="Akapitzlist"/>
              <w:numPr>
                <w:ilvl w:val="0"/>
                <w:numId w:val="28"/>
              </w:num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29A3">
              <w:rPr>
                <w:rFonts w:ascii="Times New Roman" w:hAnsi="Times New Roman" w:cs="Times New Roman"/>
                <w:sz w:val="20"/>
                <w:szCs w:val="20"/>
              </w:rPr>
              <w:t>z ciężką</w:t>
            </w:r>
            <w:r w:rsidR="002A29A3" w:rsidRPr="002A29A3">
              <w:rPr>
                <w:rFonts w:ascii="Times New Roman" w:hAnsi="Times New Roman" w:cs="Times New Roman"/>
                <w:sz w:val="20"/>
                <w:szCs w:val="20"/>
              </w:rPr>
              <w:t xml:space="preserve"> postacią łuszczycy plackowatej albo</w:t>
            </w:r>
          </w:p>
          <w:p w:rsidR="002A29A3" w:rsidRPr="002A29A3" w:rsidRDefault="002A29A3" w:rsidP="00E97D29">
            <w:pPr>
              <w:pStyle w:val="Akapitzlist"/>
              <w:numPr>
                <w:ilvl w:val="0"/>
                <w:numId w:val="28"/>
              </w:num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29A3">
              <w:rPr>
                <w:rFonts w:ascii="Times New Roman" w:hAnsi="Times New Roman" w:cs="Times New Roman"/>
                <w:sz w:val="20"/>
                <w:szCs w:val="20"/>
              </w:rPr>
              <w:t>z umiarkowaną lub ciężką postacią łuszczycy plackowatej – w przypadku kwalifikacji do terapii infliksymabem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51F97" w:rsidRPr="005D6155" w:rsidRDefault="002A29A3" w:rsidP="00E97D29">
            <w:pPr>
              <w:tabs>
                <w:tab w:val="left" w:pos="567"/>
              </w:tabs>
              <w:spacing w:after="0"/>
              <w:ind w:left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51F97" w:rsidRPr="003E7ACE">
              <w:rPr>
                <w:rFonts w:ascii="Times New Roman" w:hAnsi="Times New Roman" w:cs="Times New Roman"/>
                <w:sz w:val="20"/>
                <w:szCs w:val="20"/>
              </w:rPr>
              <w:t>którzy przestali reagować na leczenie lub mają przeciwwskazania</w:t>
            </w:r>
            <w:r w:rsidR="0045435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51F97" w:rsidRPr="003E7ACE">
              <w:rPr>
                <w:rFonts w:ascii="Times New Roman" w:hAnsi="Times New Roman" w:cs="Times New Roman"/>
                <w:sz w:val="20"/>
                <w:szCs w:val="20"/>
              </w:rPr>
              <w:t xml:space="preserve"> lub nie tolerują innych metod leczenia ogólnego</w:t>
            </w:r>
            <w:r w:rsidR="002840EE" w:rsidRPr="005D615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51F97" w:rsidRPr="0051233B" w:rsidRDefault="00451F97" w:rsidP="00E97D29">
            <w:pPr>
              <w:numPr>
                <w:ilvl w:val="0"/>
                <w:numId w:val="4"/>
              </w:numPr>
              <w:tabs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6356">
              <w:rPr>
                <w:rFonts w:ascii="Times New Roman" w:hAnsi="Times New Roman" w:cs="Times New Roman"/>
                <w:sz w:val="20"/>
                <w:szCs w:val="20"/>
              </w:rPr>
              <w:t xml:space="preserve">pacjenci, u których uzyskano następującą ocenę nasilenia procesu łuszczycowego ze wskaźnikami: </w:t>
            </w:r>
          </w:p>
          <w:p w:rsidR="00451F97" w:rsidRPr="0075330A" w:rsidRDefault="00451F97" w:rsidP="00E97D29">
            <w:pPr>
              <w:pStyle w:val="Akapitzlist"/>
              <w:numPr>
                <w:ilvl w:val="0"/>
                <w:numId w:val="27"/>
              </w:numPr>
              <w:tabs>
                <w:tab w:val="left" w:pos="284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FB9">
              <w:rPr>
                <w:rFonts w:ascii="Times New Roman" w:hAnsi="Times New Roman" w:cs="Times New Roman"/>
                <w:sz w:val="20"/>
                <w:szCs w:val="20"/>
              </w:rPr>
              <w:t xml:space="preserve">PASI większym niż </w:t>
            </w:r>
            <w:r w:rsidR="005F1829" w:rsidRPr="00A45FB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D5E18" w:rsidRPr="00A45FB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2A29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330A">
              <w:rPr>
                <w:rFonts w:ascii="Times New Roman" w:hAnsi="Times New Roman" w:cs="Times New Roman"/>
                <w:sz w:val="20"/>
                <w:szCs w:val="20"/>
              </w:rPr>
              <w:t xml:space="preserve">– w przypadku kwalifikacji do terapii adalimumabem, etanerceptem lub ustekinumabem, </w:t>
            </w:r>
            <w:r w:rsidR="002A29A3">
              <w:rPr>
                <w:rFonts w:ascii="Times New Roman" w:hAnsi="Times New Roman" w:cs="Times New Roman"/>
                <w:sz w:val="20"/>
                <w:szCs w:val="20"/>
              </w:rPr>
              <w:t xml:space="preserve">albo PASI większym niż 10 – w </w:t>
            </w:r>
            <w:r w:rsidR="002A29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przypadku kwalifikacji do terapii infliksymabem</w:t>
            </w:r>
            <w:r w:rsidR="005F1829" w:rsidRPr="00A45F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330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</w:p>
          <w:p w:rsidR="00451F97" w:rsidRPr="00A45FB9" w:rsidRDefault="00451F97" w:rsidP="00E97D29">
            <w:pPr>
              <w:pStyle w:val="Akapitzlist"/>
              <w:numPr>
                <w:ilvl w:val="0"/>
                <w:numId w:val="27"/>
              </w:num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FB9">
              <w:rPr>
                <w:rFonts w:ascii="Times New Roman" w:hAnsi="Times New Roman" w:cs="Times New Roman"/>
                <w:sz w:val="20"/>
                <w:szCs w:val="20"/>
              </w:rPr>
              <w:t>DLQI</w:t>
            </w:r>
            <w:r w:rsidR="00D277B4" w:rsidRPr="00A45F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840EE" w:rsidRPr="00A45FB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611F4" w:rsidRPr="00A45FB9">
              <w:rPr>
                <w:rFonts w:ascii="Times New Roman" w:hAnsi="Times New Roman" w:cs="Times New Roman"/>
                <w:sz w:val="20"/>
                <w:szCs w:val="20"/>
              </w:rPr>
              <w:t xml:space="preserve">ewentualnie </w:t>
            </w:r>
            <w:r w:rsidR="00D277B4" w:rsidRPr="00A45FB9">
              <w:rPr>
                <w:rFonts w:ascii="Times New Roman" w:hAnsi="Times New Roman" w:cs="Times New Roman"/>
                <w:sz w:val="20"/>
                <w:szCs w:val="20"/>
              </w:rPr>
              <w:t>CDLQI</w:t>
            </w:r>
            <w:r w:rsidR="002840EE" w:rsidRPr="00A45FB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A45FB9">
              <w:rPr>
                <w:rFonts w:ascii="Times New Roman" w:hAnsi="Times New Roman" w:cs="Times New Roman"/>
                <w:sz w:val="20"/>
                <w:szCs w:val="20"/>
              </w:rPr>
              <w:t xml:space="preserve"> większym niż 10</w:t>
            </w:r>
            <w:r w:rsidR="00454354" w:rsidRPr="00A45F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45FB9">
              <w:rPr>
                <w:rFonts w:ascii="Times New Roman" w:hAnsi="Times New Roman" w:cs="Times New Roman"/>
                <w:sz w:val="20"/>
                <w:szCs w:val="20"/>
              </w:rPr>
              <w:t xml:space="preserve"> oraz</w:t>
            </w:r>
          </w:p>
          <w:p w:rsidR="00451F97" w:rsidRPr="00A45FB9" w:rsidDel="004C6C3D" w:rsidRDefault="00451F97" w:rsidP="00E97D29">
            <w:pPr>
              <w:pStyle w:val="Akapitzlist"/>
              <w:numPr>
                <w:ilvl w:val="0"/>
                <w:numId w:val="27"/>
              </w:numPr>
              <w:tabs>
                <w:tab w:val="left" w:pos="0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5FB9" w:rsidDel="004C6C3D">
              <w:rPr>
                <w:rFonts w:ascii="Times New Roman" w:hAnsi="Times New Roman" w:cs="Times New Roman"/>
                <w:sz w:val="20"/>
                <w:szCs w:val="20"/>
              </w:rPr>
              <w:t>BSA większym niż 10</w:t>
            </w:r>
            <w:r w:rsidR="00454354" w:rsidRPr="00A45FB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51F97" w:rsidRPr="0051233B" w:rsidRDefault="00451F97" w:rsidP="00E97D29">
            <w:pPr>
              <w:numPr>
                <w:ilvl w:val="0"/>
                <w:numId w:val="4"/>
              </w:num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pacjenci, u których </w:t>
            </w:r>
            <w:r w:rsidRPr="0051233B">
              <w:rPr>
                <w:rFonts w:ascii="Times New Roman" w:hAnsi="Times New Roman" w:cs="Times New Roman"/>
                <w:bCs/>
                <w:sz w:val="20"/>
                <w:szCs w:val="20"/>
              </w:rPr>
              <w:t>w okresie poprzedzającym kwalifikację do programu nie uzyskano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poprawy po leczeniu z zastosowaniem co najmniej dwóch różnych</w:t>
            </w:r>
            <w:r w:rsidR="00A0578D"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, a w przypadku pacjentów </w:t>
            </w:r>
            <w:r w:rsidR="00586E68">
              <w:rPr>
                <w:rFonts w:ascii="Times New Roman" w:hAnsi="Times New Roman" w:cs="Times New Roman"/>
                <w:sz w:val="20"/>
                <w:szCs w:val="20"/>
              </w:rPr>
              <w:t xml:space="preserve">od 6 </w:t>
            </w:r>
            <w:r w:rsidR="00A0578D"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do 18 roku </w:t>
            </w:r>
            <w:r w:rsidR="002840EE" w:rsidRPr="0051233B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A0578D"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– co najmniej jednej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metod</w:t>
            </w:r>
            <w:r w:rsidR="00A0578D" w:rsidRPr="0051233B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142B74"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klasycznej terapii ogólnej:</w:t>
            </w:r>
          </w:p>
          <w:p w:rsidR="00451F97" w:rsidRPr="00366356" w:rsidRDefault="00A45FB9" w:rsidP="00E97D29">
            <w:pPr>
              <w:numPr>
                <w:ilvl w:val="0"/>
                <w:numId w:val="2"/>
              </w:numPr>
              <w:spacing w:after="0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451F97" w:rsidRPr="0051233B">
              <w:rPr>
                <w:rFonts w:ascii="Times New Roman" w:hAnsi="Times New Roman" w:cs="Times New Roman"/>
                <w:sz w:val="20"/>
                <w:szCs w:val="20"/>
              </w:rPr>
              <w:t>eczenie metotreksatem w dawce</w:t>
            </w:r>
            <w:r w:rsidR="00E71021"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578D"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co najmniej </w:t>
            </w:r>
            <w:r w:rsidR="00132B88" w:rsidRPr="005123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51F97" w:rsidRPr="0051233B">
              <w:rPr>
                <w:rFonts w:ascii="Times New Roman" w:hAnsi="Times New Roman" w:cs="Times New Roman"/>
                <w:sz w:val="20"/>
                <w:szCs w:val="20"/>
              </w:rPr>
              <w:t>5mg/tydzień</w:t>
            </w:r>
            <w:r w:rsidR="00A0578D"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(w przypadku pacjentów </w:t>
            </w:r>
            <w:r w:rsidR="00226892">
              <w:rPr>
                <w:rFonts w:ascii="Times New Roman" w:hAnsi="Times New Roman" w:cs="Times New Roman"/>
                <w:sz w:val="20"/>
                <w:szCs w:val="20"/>
              </w:rPr>
              <w:t xml:space="preserve">od 6 </w:t>
            </w:r>
            <w:r w:rsidR="00A0578D"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do 18 roku życia – </w:t>
            </w:r>
            <w:r w:rsidR="00586E68">
              <w:rPr>
                <w:rFonts w:ascii="Times New Roman" w:hAnsi="Times New Roman" w:cs="Times New Roman"/>
                <w:sz w:val="20"/>
                <w:szCs w:val="20"/>
              </w:rPr>
              <w:t xml:space="preserve">w dawce </w:t>
            </w:r>
            <w:r w:rsidR="00454354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A0578D"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15</w:t>
            </w:r>
            <w:r w:rsidR="00543B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578D" w:rsidRPr="0051233B">
              <w:rPr>
                <w:rFonts w:ascii="Times New Roman" w:hAnsi="Times New Roman" w:cs="Times New Roman"/>
                <w:sz w:val="20"/>
                <w:szCs w:val="20"/>
              </w:rPr>
              <w:t>mg/m</w:t>
            </w:r>
            <w:r w:rsidR="00A0578D" w:rsidRPr="0051233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A0578D" w:rsidRPr="0051233B">
              <w:rPr>
                <w:rFonts w:ascii="Times New Roman" w:hAnsi="Times New Roman" w:cs="Times New Roman"/>
                <w:sz w:val="20"/>
                <w:szCs w:val="20"/>
              </w:rPr>
              <w:t>/tydzień</w:t>
            </w:r>
            <w:r w:rsidR="002840EE" w:rsidRPr="005D6155">
              <w:rPr>
                <w:rFonts w:ascii="Times New Roman" w:hAnsi="Times New Roman" w:cs="Times New Roman"/>
                <w:sz w:val="20"/>
                <w:szCs w:val="20"/>
              </w:rPr>
              <w:t xml:space="preserve"> do</w:t>
            </w:r>
            <w:r w:rsidR="00586E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4354">
              <w:rPr>
                <w:rFonts w:ascii="Times New Roman" w:hAnsi="Times New Roman" w:cs="Times New Roman"/>
                <w:sz w:val="20"/>
                <w:szCs w:val="20"/>
              </w:rPr>
              <w:t>co najmniej</w:t>
            </w:r>
            <w:r w:rsidR="002840EE" w:rsidRPr="005D6155">
              <w:rPr>
                <w:rFonts w:ascii="Times New Roman" w:hAnsi="Times New Roman" w:cs="Times New Roman"/>
                <w:sz w:val="20"/>
                <w:szCs w:val="20"/>
              </w:rPr>
              <w:t xml:space="preserve"> 15 mg/tydzień</w:t>
            </w:r>
            <w:r w:rsidR="00A0578D" w:rsidRPr="005D615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451F97" w:rsidRPr="00366356">
              <w:rPr>
                <w:rFonts w:ascii="Times New Roman" w:hAnsi="Times New Roman" w:cs="Times New Roman"/>
                <w:sz w:val="20"/>
                <w:szCs w:val="20"/>
              </w:rPr>
              <w:t>, oceniane po trzech miesiącach</w:t>
            </w:r>
            <w:r w:rsidR="0045435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51F97" w:rsidRPr="0051233B" w:rsidRDefault="00A45FB9" w:rsidP="00E97D29">
            <w:pPr>
              <w:numPr>
                <w:ilvl w:val="0"/>
                <w:numId w:val="2"/>
              </w:numPr>
              <w:tabs>
                <w:tab w:val="left" w:pos="1418"/>
              </w:tabs>
              <w:spacing w:after="0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451F97"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eczenie retinoidami w dawce </w:t>
            </w:r>
            <w:r w:rsidR="005611F4">
              <w:rPr>
                <w:rFonts w:ascii="Times New Roman" w:hAnsi="Times New Roman" w:cs="Times New Roman"/>
                <w:sz w:val="20"/>
                <w:szCs w:val="20"/>
              </w:rPr>
              <w:t>nie mniejszej</w:t>
            </w:r>
            <w:r w:rsidR="00451F97"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niż 0,5</w:t>
            </w:r>
            <w:r w:rsidR="00226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51233B">
              <w:rPr>
                <w:rFonts w:ascii="Times New Roman" w:hAnsi="Times New Roman" w:cs="Times New Roman"/>
                <w:sz w:val="20"/>
                <w:szCs w:val="20"/>
              </w:rPr>
              <w:t>mg/kg m.c./dobę, oceniane po dwóch miesiącach</w:t>
            </w:r>
            <w:r w:rsidR="0045435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51F97" w:rsidRPr="0051233B" w:rsidRDefault="00A45FB9" w:rsidP="00E97D29">
            <w:pPr>
              <w:numPr>
                <w:ilvl w:val="0"/>
                <w:numId w:val="2"/>
              </w:numPr>
              <w:tabs>
                <w:tab w:val="left" w:pos="1418"/>
              </w:tabs>
              <w:spacing w:after="0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451F97" w:rsidRPr="0051233B">
              <w:rPr>
                <w:rFonts w:ascii="Times New Roman" w:hAnsi="Times New Roman" w:cs="Times New Roman"/>
                <w:sz w:val="20"/>
                <w:szCs w:val="20"/>
              </w:rPr>
              <w:t>eczenie cyklosporyną w dawce od 3 do 5</w:t>
            </w:r>
            <w:r w:rsidR="00943C27"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1F97" w:rsidRPr="0051233B">
              <w:rPr>
                <w:rFonts w:ascii="Times New Roman" w:hAnsi="Times New Roman" w:cs="Times New Roman"/>
                <w:sz w:val="20"/>
                <w:szCs w:val="20"/>
              </w:rPr>
              <w:t>mg/kg m.c</w:t>
            </w:r>
            <w:r w:rsidR="00FE0B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51F97" w:rsidRPr="0051233B">
              <w:rPr>
                <w:rFonts w:ascii="Times New Roman" w:hAnsi="Times New Roman" w:cs="Times New Roman"/>
                <w:sz w:val="20"/>
                <w:szCs w:val="20"/>
              </w:rPr>
              <w:t>/dobę, oceniane po trzech miesiącach</w:t>
            </w:r>
            <w:r w:rsidR="0045435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51F97" w:rsidRPr="0051233B" w:rsidRDefault="00A45FB9" w:rsidP="00E97D29">
            <w:pPr>
              <w:numPr>
                <w:ilvl w:val="0"/>
                <w:numId w:val="2"/>
              </w:numPr>
              <w:tabs>
                <w:tab w:val="left" w:pos="1418"/>
              </w:tabs>
              <w:spacing w:after="0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451F97" w:rsidRPr="0051233B">
              <w:rPr>
                <w:rFonts w:ascii="Times New Roman" w:hAnsi="Times New Roman" w:cs="Times New Roman"/>
                <w:sz w:val="20"/>
                <w:szCs w:val="20"/>
              </w:rPr>
              <w:t>eczenie metodą PUVA (psoralen+UVA), oceniane po trzech miesiącach</w:t>
            </w:r>
            <w:r w:rsidR="00D277B4"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(nie dotyczy pacjentów </w:t>
            </w:r>
            <w:r w:rsidR="00705B3B" w:rsidRPr="0051233B">
              <w:rPr>
                <w:rFonts w:ascii="Times New Roman" w:hAnsi="Times New Roman" w:cs="Times New Roman"/>
                <w:sz w:val="20"/>
                <w:szCs w:val="20"/>
              </w:rPr>
              <w:t>poniżej 18 ro</w:t>
            </w:r>
            <w:r w:rsidR="00D277B4" w:rsidRPr="0051233B">
              <w:rPr>
                <w:rFonts w:ascii="Times New Roman" w:hAnsi="Times New Roman" w:cs="Times New Roman"/>
                <w:sz w:val="20"/>
                <w:szCs w:val="20"/>
              </w:rPr>
              <w:t>ku życia)</w:t>
            </w:r>
          </w:p>
          <w:p w:rsidR="00451F97" w:rsidRPr="003E7ACE" w:rsidRDefault="002A29A3" w:rsidP="00A45FB9">
            <w:pPr>
              <w:tabs>
                <w:tab w:val="left" w:pos="284"/>
              </w:tabs>
              <w:spacing w:after="0"/>
              <w:ind w:left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51F97" w:rsidRPr="003E7ACE">
              <w:rPr>
                <w:rFonts w:ascii="Times New Roman" w:hAnsi="Times New Roman" w:cs="Times New Roman"/>
                <w:sz w:val="20"/>
                <w:szCs w:val="20"/>
              </w:rPr>
              <w:t>lub pacjenci, u których występują przeciwwskazania do stosowania wyżej wymienionych metod terapii ogólnej, przy czym przeciwwskazania do stosowania terapii ogólnej muszą być oparte na Charakterystyce Produktu Leczniczego lub aktualnej wiedzy medycznej</w:t>
            </w:r>
            <w:r w:rsidR="00EE293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51F97" w:rsidRPr="003E7ACE" w:rsidRDefault="002A29A3" w:rsidP="00A45FB9">
            <w:pPr>
              <w:tabs>
                <w:tab w:val="left" w:pos="2520"/>
              </w:tabs>
              <w:spacing w:after="0"/>
              <w:ind w:left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51F97" w:rsidRPr="003E7ACE">
              <w:rPr>
                <w:rFonts w:ascii="Times New Roman" w:hAnsi="Times New Roman" w:cs="Times New Roman"/>
                <w:sz w:val="20"/>
                <w:szCs w:val="20"/>
              </w:rPr>
              <w:t>lub pacjenci, u których wystąpiły działania niepożądane po stosowaniu wyżej wymienionych metod terapii ogólnej uniemożliwiające ich kontynuowanie.</w:t>
            </w:r>
          </w:p>
          <w:p w:rsidR="00A52169" w:rsidRDefault="00454354" w:rsidP="00E97D29">
            <w:pPr>
              <w:pStyle w:val="Akapitzlist"/>
              <w:numPr>
                <w:ilvl w:val="0"/>
                <w:numId w:val="22"/>
              </w:numPr>
              <w:tabs>
                <w:tab w:val="left" w:pos="0"/>
              </w:tabs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programu kwalifikowani</w:t>
            </w:r>
            <w:r w:rsidR="00A52169"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A52169"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również pacjen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ci, uprzednio leczeni</w:t>
            </w:r>
            <w:r w:rsidR="00A52169"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etanerceptem</w:t>
            </w:r>
            <w:r w:rsidR="002A29A3">
              <w:rPr>
                <w:rFonts w:ascii="Times New Roman" w:hAnsi="Times New Roman" w:cs="Times New Roman"/>
                <w:sz w:val="20"/>
                <w:szCs w:val="20"/>
              </w:rPr>
              <w:t xml:space="preserve"> albo infliksymabem</w:t>
            </w:r>
            <w:r w:rsidR="00A52169"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w ramach hospitalizacji według jednorodnych grup pacjentów (JGP)</w:t>
            </w:r>
            <w:r w:rsidR="001B05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169" w:rsidRPr="0051233B">
              <w:rPr>
                <w:rFonts w:ascii="Times New Roman" w:hAnsi="Times New Roman" w:cs="Times New Roman"/>
                <w:sz w:val="20"/>
                <w:szCs w:val="20"/>
              </w:rPr>
              <w:t>pod warunkiem, że przed rozpoczęciem terapii spełniali kryteria włączenia do programu oraz nie spełnili kryteriów zakończenia udziału w programie.</w:t>
            </w:r>
          </w:p>
          <w:p w:rsidR="00872033" w:rsidRPr="0051233B" w:rsidRDefault="00451F97" w:rsidP="00E97D29">
            <w:pPr>
              <w:pStyle w:val="Akapitzlist"/>
              <w:numPr>
                <w:ilvl w:val="0"/>
                <w:numId w:val="22"/>
              </w:numPr>
              <w:spacing w:after="0"/>
              <w:ind w:left="357" w:hanging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W przypadku kobiet </w:t>
            </w:r>
            <w:r w:rsidR="00872033"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i miesiączkujących dziewcząt 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wymagana jest zgoda na </w:t>
            </w:r>
            <w:r w:rsidR="00872033"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świadomą kontrolę urodzeń 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czasie leczenia oraz przez</w:t>
            </w:r>
            <w:r w:rsidR="00872033" w:rsidRPr="0051233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72033" w:rsidRPr="005D6155" w:rsidRDefault="00451F97" w:rsidP="00E97D29">
            <w:pPr>
              <w:pStyle w:val="Akapitzlist"/>
              <w:numPr>
                <w:ilvl w:val="0"/>
                <w:numId w:val="10"/>
              </w:numPr>
              <w:tabs>
                <w:tab w:val="left" w:pos="-4253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155">
              <w:rPr>
                <w:rFonts w:ascii="Times New Roman" w:hAnsi="Times New Roman" w:cs="Times New Roman"/>
                <w:sz w:val="20"/>
                <w:szCs w:val="20"/>
              </w:rPr>
              <w:t>15 tygodni od podania ostatniej dawki  ustekinumabu</w:t>
            </w:r>
            <w:r w:rsidR="007307ED" w:rsidRPr="005D61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6892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</w:p>
          <w:p w:rsidR="00872033" w:rsidRPr="0051233B" w:rsidRDefault="00836C82" w:rsidP="00E97D29">
            <w:pPr>
              <w:pStyle w:val="Akapitzlist"/>
              <w:numPr>
                <w:ilvl w:val="0"/>
                <w:numId w:val="10"/>
              </w:numPr>
              <w:tabs>
                <w:tab w:val="left" w:pos="-4253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6356">
              <w:rPr>
                <w:rFonts w:ascii="Times New Roman" w:hAnsi="Times New Roman" w:cs="Times New Roman"/>
                <w:sz w:val="20"/>
                <w:szCs w:val="20"/>
              </w:rPr>
              <w:t>5 miesięcy o</w:t>
            </w:r>
            <w:r w:rsidR="002840EE" w:rsidRPr="00366356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366356">
              <w:rPr>
                <w:rFonts w:ascii="Times New Roman" w:hAnsi="Times New Roman" w:cs="Times New Roman"/>
                <w:sz w:val="20"/>
                <w:szCs w:val="20"/>
              </w:rPr>
              <w:t xml:space="preserve"> podani</w:t>
            </w:r>
            <w:r w:rsidR="002840EE" w:rsidRPr="0051233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ostatniej dawki adalimumabu</w:t>
            </w:r>
            <w:r w:rsidR="007307ED"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26892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72033"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51F97" w:rsidRPr="0051233B" w:rsidRDefault="007307ED" w:rsidP="00E97D29">
            <w:pPr>
              <w:pStyle w:val="Akapitzlist"/>
              <w:numPr>
                <w:ilvl w:val="0"/>
                <w:numId w:val="10"/>
              </w:numPr>
              <w:tabs>
                <w:tab w:val="left" w:pos="-4253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6 miesięcy </w:t>
            </w:r>
            <w:r w:rsidR="002840EE" w:rsidRPr="0051233B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podani</w:t>
            </w:r>
            <w:r w:rsidR="002840EE" w:rsidRPr="0051233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ostatniej dawki etanerceptu</w:t>
            </w:r>
            <w:r w:rsidR="002A29A3">
              <w:rPr>
                <w:rFonts w:ascii="Times New Roman" w:hAnsi="Times New Roman" w:cs="Times New Roman"/>
                <w:sz w:val="20"/>
                <w:szCs w:val="20"/>
              </w:rPr>
              <w:t xml:space="preserve"> lub infliksymabu</w:t>
            </w:r>
            <w:r w:rsidR="00836C82" w:rsidRPr="005123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51F97"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51F97" w:rsidRPr="0051233B" w:rsidRDefault="00451F97" w:rsidP="0051233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1F97" w:rsidRPr="0051233B" w:rsidRDefault="00451F97" w:rsidP="003E7ACE">
            <w:pPr>
              <w:numPr>
                <w:ilvl w:val="0"/>
                <w:numId w:val="1"/>
              </w:numPr>
              <w:spacing w:after="0"/>
              <w:ind w:left="28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Kryteria </w:t>
            </w:r>
            <w:r w:rsidR="007307ED" w:rsidRPr="003E7A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stanowiące przeciwskazania</w:t>
            </w:r>
            <w:r w:rsidRPr="005D61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do </w:t>
            </w:r>
            <w:r w:rsidR="007307ED" w:rsidRPr="005D61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udziału w </w:t>
            </w:r>
            <w:r w:rsidRPr="005D61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</w:t>
            </w:r>
            <w:r w:rsidR="007307ED" w:rsidRPr="005D61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ie:</w:t>
            </w:r>
          </w:p>
          <w:p w:rsidR="00451F97" w:rsidRPr="0051233B" w:rsidRDefault="00451F97" w:rsidP="00E97D29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ciąż</w:t>
            </w:r>
            <w:r w:rsidR="007307ED" w:rsidRPr="0051233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07ED" w:rsidRPr="0051233B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8029E"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laktacj</w:t>
            </w:r>
            <w:r w:rsidR="007307ED" w:rsidRPr="0051233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8029E" w:rsidRPr="0051233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51F97" w:rsidRPr="0051233B" w:rsidRDefault="00451F97" w:rsidP="00E97D29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nadwrażliwoś</w:t>
            </w:r>
            <w:r w:rsidR="007307ED" w:rsidRPr="0051233B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na substancję czynną lub pomocniczą leku;</w:t>
            </w:r>
          </w:p>
          <w:p w:rsidR="00451F97" w:rsidRPr="0051233B" w:rsidRDefault="00451F97" w:rsidP="00E97D29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l-PL"/>
              </w:rPr>
            </w:pP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czynn</w:t>
            </w:r>
            <w:r w:rsidR="007307ED" w:rsidRPr="0051233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lub utajon</w:t>
            </w:r>
            <w:r w:rsidR="007307ED" w:rsidRPr="0051233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infekcj</w:t>
            </w:r>
            <w:r w:rsidR="007307ED" w:rsidRPr="0051233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wirusow</w:t>
            </w:r>
            <w:r w:rsidR="007307ED" w:rsidRPr="0051233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, bakteryjn</w:t>
            </w:r>
            <w:r w:rsidR="007307ED" w:rsidRPr="0051233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, grzybicz</w:t>
            </w:r>
            <w:r w:rsidR="007307ED" w:rsidRPr="0051233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i pierwotniakow</w:t>
            </w:r>
            <w:r w:rsidR="007307ED" w:rsidRPr="0051233B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, zwłaszcza zakażenia HIV, HBV i HCV oraz </w:t>
            </w:r>
            <w:r w:rsidRPr="0051233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Mycobacterium tuberculosis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7307ED" w:rsidRPr="0051233B">
              <w:rPr>
                <w:rFonts w:ascii="Times New Roman" w:hAnsi="Times New Roman" w:cs="Times New Roman"/>
                <w:sz w:val="20"/>
                <w:szCs w:val="20"/>
              </w:rPr>
              <w:t>z wyjątkiem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infekcji </w:t>
            </w:r>
            <w:r w:rsidRPr="0051233B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l-PL"/>
              </w:rPr>
              <w:t xml:space="preserve">Propionibacterium acnes </w:t>
            </w:r>
            <w:r w:rsidRPr="0051233B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</w:rPr>
              <w:t>oraz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nawrotowej opryszczki)</w:t>
            </w:r>
            <w:r w:rsidR="0008029E" w:rsidRPr="0051233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51F97" w:rsidRPr="0051233B" w:rsidRDefault="00451F97" w:rsidP="00E97D29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tocz</w:t>
            </w:r>
            <w:r w:rsidR="007307ED" w:rsidRPr="0051233B">
              <w:rPr>
                <w:rFonts w:ascii="Times New Roman" w:hAnsi="Times New Roman" w:cs="Times New Roman"/>
                <w:sz w:val="20"/>
                <w:szCs w:val="20"/>
              </w:rPr>
              <w:t>eń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rumieniowat</w:t>
            </w:r>
            <w:r w:rsidR="007307ED" w:rsidRPr="0051233B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układow</w:t>
            </w:r>
            <w:r w:rsidR="007307ED" w:rsidRPr="0051233B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51F97" w:rsidRPr="0051233B" w:rsidRDefault="00451F97" w:rsidP="00E97D29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chor</w:t>
            </w:r>
            <w:r w:rsidR="007307ED" w:rsidRPr="0051233B">
              <w:rPr>
                <w:rFonts w:ascii="Times New Roman" w:hAnsi="Times New Roman" w:cs="Times New Roman"/>
                <w:sz w:val="20"/>
                <w:szCs w:val="20"/>
              </w:rPr>
              <w:t>oba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demielinizacyjn</w:t>
            </w:r>
            <w:r w:rsidR="007307ED" w:rsidRPr="0051233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51F97" w:rsidRPr="0051233B" w:rsidRDefault="00451F97" w:rsidP="00E97D29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ciężk</w:t>
            </w:r>
            <w:r w:rsidR="007307ED" w:rsidRPr="0051233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 niewydolności układu krążenia (NYHA III i  NYHA IV);</w:t>
            </w:r>
          </w:p>
          <w:p w:rsidR="00451F97" w:rsidRPr="0051233B" w:rsidRDefault="00451F97" w:rsidP="00E97D29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czynn</w:t>
            </w:r>
            <w:r w:rsidR="007307ED" w:rsidRPr="0051233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chorob</w:t>
            </w:r>
            <w:r w:rsidR="007307ED" w:rsidRPr="0051233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nowotworow</w:t>
            </w:r>
            <w:r w:rsidR="007307ED" w:rsidRPr="0051233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lub chorob</w:t>
            </w:r>
            <w:r w:rsidR="007307ED" w:rsidRPr="0051233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nowotworow</w:t>
            </w:r>
            <w:r w:rsidR="007307ED" w:rsidRPr="0051233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, której leczenie zakończono w ostatnich 5 latach (z wyjątkiem raka podstawnokomórkowego skóry);</w:t>
            </w:r>
          </w:p>
          <w:p w:rsidR="00451F97" w:rsidRDefault="00451F97" w:rsidP="00E97D29">
            <w:pPr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pancytopeni</w:t>
            </w:r>
            <w:r w:rsidR="007307ED" w:rsidRPr="0051233B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i niedokrwistoś</w:t>
            </w:r>
            <w:r w:rsidR="007307ED" w:rsidRPr="0051233B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226892">
              <w:rPr>
                <w:rFonts w:ascii="Times New Roman" w:hAnsi="Times New Roman" w:cs="Times New Roman"/>
                <w:sz w:val="20"/>
                <w:szCs w:val="20"/>
              </w:rPr>
              <w:t xml:space="preserve"> aplastyczna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11779" w:rsidRPr="0051233B" w:rsidRDefault="00B11779" w:rsidP="00B1177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2095" w:rsidRDefault="00502095" w:rsidP="0051233B">
            <w:pPr>
              <w:numPr>
                <w:ilvl w:val="0"/>
                <w:numId w:val="1"/>
              </w:numPr>
              <w:spacing w:after="0"/>
              <w:ind w:left="28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 i warunki zmiany terapii:</w:t>
            </w:r>
          </w:p>
          <w:p w:rsidR="00502095" w:rsidRPr="003E7ACE" w:rsidRDefault="002A2000" w:rsidP="00E97D29">
            <w:pPr>
              <w:pStyle w:val="Akapitzlist"/>
              <w:numPr>
                <w:ilvl w:val="0"/>
                <w:numId w:val="16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u</w:t>
            </w:r>
            <w:r w:rsidR="002268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pacjenta</w:t>
            </w:r>
            <w:r w:rsidR="00502095" w:rsidRPr="003E7A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będącego w trakcie terapii, u którego występuje adekwatna odpowiedź na zastosowane leczenie, terapię prowadzi się z użyciem substancji czynnej, która wywołała taką odpowiedź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502095" w:rsidRPr="003E7ACE" w:rsidRDefault="002A2000" w:rsidP="00E97D29">
            <w:pPr>
              <w:pStyle w:val="Akapitzlist"/>
              <w:numPr>
                <w:ilvl w:val="0"/>
                <w:numId w:val="16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502095" w:rsidRPr="003E7A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miana terapii na leczenie inną substancją czynną wymaga każdorazowo uzyskania zgody Zespołu Koordynacyjnego do Spraw Leczenia Biologicznego w </w:t>
            </w:r>
            <w:r w:rsidR="00586E68">
              <w:rPr>
                <w:rFonts w:ascii="Times New Roman" w:hAnsi="Times New Roman" w:cs="Times New Roman"/>
                <w:bCs/>
                <w:sz w:val="20"/>
                <w:szCs w:val="20"/>
              </w:rPr>
              <w:t>Łuszczycy Plackowatej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  <w:r w:rsidR="00586E6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502095" w:rsidRPr="003E7ACE" w:rsidRDefault="002A2000" w:rsidP="00E97D29">
            <w:pPr>
              <w:pStyle w:val="Akapitzlist"/>
              <w:numPr>
                <w:ilvl w:val="0"/>
                <w:numId w:val="16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502095" w:rsidRPr="003E7A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amiana terapii możliwa jest tylko w następujących </w:t>
            </w:r>
            <w:r w:rsidR="00502095" w:rsidRPr="003E7AC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przypadkach:</w:t>
            </w:r>
          </w:p>
          <w:p w:rsidR="00502095" w:rsidRPr="003E7ACE" w:rsidRDefault="00502095" w:rsidP="00E97D29">
            <w:pPr>
              <w:pStyle w:val="Akapitzlist"/>
              <w:numPr>
                <w:ilvl w:val="0"/>
                <w:numId w:val="17"/>
              </w:numPr>
              <w:spacing w:after="0"/>
              <w:ind w:left="714" w:hanging="3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bCs/>
                <w:sz w:val="20"/>
                <w:szCs w:val="20"/>
              </w:rPr>
              <w:t>wystąpienie nadwrażliwości na substancję c</w:t>
            </w:r>
            <w:r w:rsidR="00454354">
              <w:rPr>
                <w:rFonts w:ascii="Times New Roman" w:hAnsi="Times New Roman" w:cs="Times New Roman"/>
                <w:bCs/>
                <w:sz w:val="20"/>
                <w:szCs w:val="20"/>
              </w:rPr>
              <w:t>zynną lub substancje pomocnicze lub</w:t>
            </w:r>
          </w:p>
          <w:p w:rsidR="00502095" w:rsidRPr="003E7ACE" w:rsidRDefault="00502095" w:rsidP="00E97D29">
            <w:pPr>
              <w:pStyle w:val="Akapitzlist"/>
              <w:numPr>
                <w:ilvl w:val="0"/>
                <w:numId w:val="17"/>
              </w:numPr>
              <w:spacing w:after="0"/>
              <w:ind w:left="714" w:hanging="3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bCs/>
                <w:sz w:val="20"/>
                <w:szCs w:val="20"/>
              </w:rPr>
              <w:t>wystąpienie istotnych działań niepożądanych związanych z podaniem substancji czynnej, których uniknięcie jest możliwe po podaniu inne</w:t>
            </w:r>
            <w:r w:rsidR="00711215" w:rsidRPr="003E7ACE">
              <w:rPr>
                <w:rFonts w:ascii="Times New Roman" w:hAnsi="Times New Roman" w:cs="Times New Roman"/>
                <w:bCs/>
                <w:sz w:val="20"/>
                <w:szCs w:val="20"/>
              </w:rPr>
              <w:t>j substancji czynnej,</w:t>
            </w:r>
            <w:r w:rsidR="0045435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lub</w:t>
            </w:r>
          </w:p>
          <w:p w:rsidR="00502095" w:rsidRDefault="00502095" w:rsidP="00E97D29">
            <w:pPr>
              <w:pStyle w:val="Akapitzlist"/>
              <w:numPr>
                <w:ilvl w:val="0"/>
                <w:numId w:val="17"/>
              </w:numPr>
              <w:spacing w:after="0"/>
              <w:ind w:left="714" w:hanging="3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stwierdzenie innych, potwierdzonych badaniem pacjenta, przeciwwskazań do podawania </w:t>
            </w:r>
            <w:r w:rsidR="00711215" w:rsidRPr="003E7A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substancji </w:t>
            </w:r>
            <w:r w:rsidRPr="003E7ACE">
              <w:rPr>
                <w:rFonts w:ascii="Times New Roman" w:hAnsi="Times New Roman" w:cs="Times New Roman"/>
                <w:bCs/>
                <w:sz w:val="20"/>
                <w:szCs w:val="20"/>
              </w:rPr>
              <w:t>czynnej leku biologicznego.</w:t>
            </w:r>
          </w:p>
          <w:p w:rsidR="00727DFA" w:rsidRPr="00727DFA" w:rsidRDefault="00727DFA" w:rsidP="00E97D29">
            <w:pPr>
              <w:pStyle w:val="Akapitzlist"/>
              <w:numPr>
                <w:ilvl w:val="0"/>
                <w:numId w:val="16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 ramach programu lekowego nie jest możliwa zmiana terapii jeżeli podczas kwalifikacji pacjent nie spełnił kryterium wartości PASI powyżej 18. </w:t>
            </w:r>
          </w:p>
          <w:p w:rsidR="00451F97" w:rsidRDefault="00727DFA" w:rsidP="00E97D29">
            <w:pPr>
              <w:pStyle w:val="Akapitzlist"/>
              <w:numPr>
                <w:ilvl w:val="0"/>
                <w:numId w:val="16"/>
              </w:numPr>
              <w:tabs>
                <w:tab w:val="left" w:pos="284"/>
              </w:tabs>
              <w:spacing w:after="0"/>
              <w:ind w:left="357" w:hanging="35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 ramach </w:t>
            </w:r>
            <w:r w:rsidRPr="00727DF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leczenia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łuszczycy plackowatej </w:t>
            </w:r>
            <w:r w:rsidRPr="00727DFA">
              <w:rPr>
                <w:rFonts w:ascii="Times New Roman" w:hAnsi="Times New Roman" w:cs="Times New Roman"/>
                <w:bCs/>
                <w:sz w:val="20"/>
                <w:szCs w:val="20"/>
              </w:rPr>
              <w:t>nie jest możliwe zastosowanie więcej niż 2 inhibitorów TNF alfa.</w:t>
            </w:r>
            <w:r w:rsidR="0075330A" w:rsidRPr="00727D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727DFA" w:rsidRPr="00727DFA" w:rsidRDefault="00727DFA" w:rsidP="00727DFA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02095" w:rsidRPr="005D6155" w:rsidRDefault="00502095" w:rsidP="003E7ACE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61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 zakończenia udziału w programie</w:t>
            </w:r>
            <w:r w:rsidR="00B117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:rsidR="00451F97" w:rsidRPr="00226892" w:rsidRDefault="00451F97" w:rsidP="00E97D29">
            <w:pPr>
              <w:pStyle w:val="Akapitzlist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brak adekwatnej odpowiedzi na leczenie</w:t>
            </w:r>
            <w:r w:rsidR="00B1177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stwierdzon</w:t>
            </w:r>
            <w:r w:rsidR="007307ED" w:rsidRPr="0051233B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w przypadku nieuzyskania poprawy klinicznej to znaczy: zmniejszenia wartości PASI o 75%</w:t>
            </w:r>
            <w:r w:rsidR="00885CD9"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albo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nieuzyskania poprawy wskaźnika PASI w przedziale 50-75% wr</w:t>
            </w:r>
            <w:r w:rsidR="00A45FB9">
              <w:rPr>
                <w:rFonts w:ascii="Times New Roman" w:hAnsi="Times New Roman" w:cs="Times New Roman"/>
                <w:sz w:val="20"/>
                <w:szCs w:val="20"/>
              </w:rPr>
              <w:t xml:space="preserve">az z jednoczesnym nieuzyskaniem 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poprawy jakości życia ocenionej za pomocą skali DLQI</w:t>
            </w:r>
            <w:r w:rsidR="00226892">
              <w:rPr>
                <w:rFonts w:ascii="Times New Roman" w:hAnsi="Times New Roman" w:cs="Times New Roman"/>
                <w:sz w:val="20"/>
                <w:szCs w:val="20"/>
              </w:rPr>
              <w:t xml:space="preserve"> (ew. CDLQI)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o minimum 5 punktów </w:t>
            </w:r>
            <w:r w:rsidR="0022689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:rsidR="00B11779" w:rsidRDefault="00451F97" w:rsidP="00E97D29">
            <w:pPr>
              <w:pStyle w:val="Akapitzlist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utrata odpowiedzi na leczenie po uzyskaniu adekwatnej odpowiedzi na leczenie to znaczy</w:t>
            </w:r>
            <w:r w:rsidR="00B1177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B11779" w:rsidRPr="00815255" w:rsidRDefault="00451F97" w:rsidP="00E97D29">
            <w:pPr>
              <w:pStyle w:val="Akapitzlist"/>
              <w:numPr>
                <w:ilvl w:val="0"/>
                <w:numId w:val="31"/>
              </w:numPr>
              <w:spacing w:after="0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5255">
              <w:rPr>
                <w:rFonts w:ascii="Times New Roman" w:hAnsi="Times New Roman" w:cs="Times New Roman"/>
                <w:sz w:val="20"/>
                <w:szCs w:val="20"/>
              </w:rPr>
              <w:t xml:space="preserve">PASI większy niż </w:t>
            </w:r>
            <w:r w:rsidR="003062CB" w:rsidRPr="00815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735E1" w:rsidRPr="00815255">
              <w:rPr>
                <w:rFonts w:ascii="Times New Roman" w:hAnsi="Times New Roman" w:cs="Times New Roman"/>
                <w:sz w:val="20"/>
                <w:szCs w:val="20"/>
              </w:rPr>
              <w:t xml:space="preserve">0 – jeżeli w czasie kwalifikacji </w:t>
            </w:r>
            <w:r w:rsidR="00D81C30" w:rsidRPr="00815255">
              <w:rPr>
                <w:rFonts w:ascii="Times New Roman" w:hAnsi="Times New Roman" w:cs="Times New Roman"/>
                <w:sz w:val="20"/>
                <w:szCs w:val="20"/>
              </w:rPr>
              <w:t>wskaźnik PASI był</w:t>
            </w:r>
            <w:r w:rsidR="00F735E1" w:rsidRPr="00815255">
              <w:rPr>
                <w:rFonts w:ascii="Times New Roman" w:hAnsi="Times New Roman" w:cs="Times New Roman"/>
                <w:sz w:val="20"/>
                <w:szCs w:val="20"/>
              </w:rPr>
              <w:t xml:space="preserve"> mniejsz</w:t>
            </w:r>
            <w:r w:rsidR="00D81C30" w:rsidRPr="00815255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F735E1" w:rsidRPr="00815255">
              <w:rPr>
                <w:rFonts w:ascii="Times New Roman" w:hAnsi="Times New Roman" w:cs="Times New Roman"/>
                <w:sz w:val="20"/>
                <w:szCs w:val="20"/>
              </w:rPr>
              <w:t xml:space="preserve"> niż 18</w:t>
            </w:r>
            <w:r w:rsidR="00D81C30" w:rsidRPr="00815255">
              <w:rPr>
                <w:rFonts w:ascii="Times New Roman" w:hAnsi="Times New Roman" w:cs="Times New Roman"/>
                <w:sz w:val="20"/>
                <w:szCs w:val="20"/>
              </w:rPr>
              <w:t xml:space="preserve"> albo</w:t>
            </w:r>
            <w:r w:rsidR="00815255">
              <w:rPr>
                <w:rFonts w:ascii="Times New Roman" w:hAnsi="Times New Roman" w:cs="Times New Roman"/>
                <w:sz w:val="20"/>
                <w:szCs w:val="20"/>
              </w:rPr>
              <w:t xml:space="preserve"> P</w:t>
            </w:r>
            <w:r w:rsidR="00D81C30" w:rsidRPr="00815255">
              <w:rPr>
                <w:rFonts w:ascii="Times New Roman" w:hAnsi="Times New Roman" w:cs="Times New Roman"/>
                <w:sz w:val="20"/>
                <w:szCs w:val="20"/>
              </w:rPr>
              <w:t>ASI większy niż 18 – jeżeli w czasie kwalifikacji wskaźnik PASI był większy niż 18 oraz</w:t>
            </w:r>
          </w:p>
          <w:p w:rsidR="00B11779" w:rsidRDefault="00D81C30" w:rsidP="00E97D29">
            <w:pPr>
              <w:pStyle w:val="Akapitzlist"/>
              <w:numPr>
                <w:ilvl w:val="0"/>
                <w:numId w:val="31"/>
              </w:numPr>
              <w:spacing w:after="0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BSA większy niż 10, oraz</w:t>
            </w:r>
          </w:p>
          <w:p w:rsidR="00451F97" w:rsidRPr="00226892" w:rsidRDefault="00451F97" w:rsidP="00E97D29">
            <w:pPr>
              <w:pStyle w:val="Akapitzlist"/>
              <w:numPr>
                <w:ilvl w:val="0"/>
                <w:numId w:val="31"/>
              </w:numPr>
              <w:spacing w:after="0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DLQI </w:t>
            </w:r>
            <w:r w:rsidR="00226892">
              <w:rPr>
                <w:rFonts w:ascii="Times New Roman" w:hAnsi="Times New Roman" w:cs="Times New Roman"/>
                <w:sz w:val="20"/>
                <w:szCs w:val="20"/>
              </w:rPr>
              <w:t xml:space="preserve">(ew. </w:t>
            </w:r>
            <w:r w:rsidR="007307ED" w:rsidRPr="0051233B">
              <w:rPr>
                <w:rFonts w:ascii="Times New Roman" w:hAnsi="Times New Roman" w:cs="Times New Roman"/>
                <w:sz w:val="20"/>
                <w:szCs w:val="20"/>
              </w:rPr>
              <w:t>CDLQI</w:t>
            </w:r>
            <w:r w:rsidR="0022689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7307ED"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większy niż 10</w:t>
            </w:r>
            <w:r w:rsidR="0017671A" w:rsidRPr="0051233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26892">
              <w:rPr>
                <w:rFonts w:ascii="Times New Roman" w:hAnsi="Times New Roman" w:cs="Times New Roman"/>
                <w:sz w:val="20"/>
                <w:szCs w:val="20"/>
              </w:rPr>
              <w:t xml:space="preserve"> lub</w:t>
            </w:r>
          </w:p>
          <w:p w:rsidR="00451F97" w:rsidRPr="0051233B" w:rsidRDefault="00451F97" w:rsidP="00E97D29">
            <w:pPr>
              <w:pStyle w:val="Akapitzlist"/>
              <w:numPr>
                <w:ilvl w:val="0"/>
                <w:numId w:val="6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wystąpienie działań niepożądanych takich jak:</w:t>
            </w:r>
          </w:p>
          <w:p w:rsidR="00451F97" w:rsidRPr="0051233B" w:rsidRDefault="00451F97" w:rsidP="00E97D29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reakcja alergiczna na lek</w:t>
            </w:r>
            <w:r w:rsidR="00BC06E9" w:rsidRPr="0051233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51F97" w:rsidRPr="0051233B" w:rsidRDefault="00451F97" w:rsidP="00E97D29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zakażenie o ciężkim przebiegu</w:t>
            </w:r>
            <w:r w:rsidR="00BC06E9" w:rsidRPr="0051233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51F97" w:rsidRPr="0051233B" w:rsidRDefault="00451F97" w:rsidP="00E97D29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objawy niewydolności nerek, serca, płuc, wątroby</w:t>
            </w:r>
            <w:r w:rsidR="00BC06E9" w:rsidRPr="0051233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51F97" w:rsidRPr="0051233B" w:rsidRDefault="00451F97" w:rsidP="00E97D29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pancytopenia i niedokrwistość aplastyczna</w:t>
            </w:r>
            <w:r w:rsidR="00BC06E9" w:rsidRPr="0051233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51F97" w:rsidRPr="0051233B" w:rsidRDefault="00451F97" w:rsidP="00E97D29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stwierdzenie choroby nowotworowej</w:t>
            </w:r>
            <w:r w:rsidR="00BC06E9" w:rsidRPr="0051233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836B5" w:rsidRPr="0051233B" w:rsidRDefault="00451F97" w:rsidP="00E97D29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stwierdzenie wykładników wskazujących na rozwój ciężkiej choroby ogólnoustrojowej o podłożu autoimmunologicznym, jeżeli nie ustąpiły po przerwaniu terapii biologicznej bądź zastosowaniu odpowiedniego leczenia</w:t>
            </w:r>
            <w:r w:rsidR="001836B5" w:rsidRPr="0051233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51F97" w:rsidRPr="0051233B" w:rsidRDefault="001836B5" w:rsidP="00E97D29">
            <w:pPr>
              <w:pStyle w:val="Akapitzlist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inne, wymienione w przeciwskazaniach do udziału w programie.</w:t>
            </w:r>
          </w:p>
          <w:p w:rsidR="009162D2" w:rsidRPr="0051233B" w:rsidRDefault="009162D2" w:rsidP="0051233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1F97" w:rsidRPr="0051233B" w:rsidRDefault="00451F97" w:rsidP="0051233B">
            <w:pPr>
              <w:numPr>
                <w:ilvl w:val="0"/>
                <w:numId w:val="1"/>
              </w:numPr>
              <w:spacing w:after="0"/>
              <w:ind w:left="28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Określenie czasu leczenia w programie:</w:t>
            </w:r>
          </w:p>
          <w:p w:rsidR="001836B5" w:rsidRDefault="00451F97" w:rsidP="00E97D29">
            <w:pPr>
              <w:pStyle w:val="Akapitzlist"/>
              <w:numPr>
                <w:ilvl w:val="0"/>
                <w:numId w:val="18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 xml:space="preserve">Leczenie trwa do czasu podjęcia przez lekarza prowadzącego decyzji o wyłączeniu pacjenta z programu, zgodnie z kryteriami przedstawionymi w </w:t>
            </w:r>
            <w:r w:rsidR="005C30B4">
              <w:rPr>
                <w:rFonts w:ascii="Times New Roman" w:hAnsi="Times New Roman" w:cs="Times New Roman"/>
                <w:sz w:val="20"/>
                <w:szCs w:val="20"/>
              </w:rPr>
              <w:t xml:space="preserve">opisie przedmiotowego programu, jednak nie </w:t>
            </w:r>
            <w:r w:rsidR="00815255">
              <w:rPr>
                <w:rFonts w:ascii="Times New Roman" w:hAnsi="Times New Roman" w:cs="Times New Roman"/>
                <w:sz w:val="20"/>
                <w:szCs w:val="20"/>
              </w:rPr>
              <w:t xml:space="preserve">dłużej </w:t>
            </w: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1836B5" w:rsidRPr="003E7AC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15255" w:rsidRPr="003E7ACE" w:rsidRDefault="00815255" w:rsidP="00E97D29">
            <w:pPr>
              <w:pStyle w:val="Akapitzlist"/>
              <w:numPr>
                <w:ilvl w:val="0"/>
                <w:numId w:val="19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do 96 tygodni – w przypadku terapii infliksymabem,</w:t>
            </w:r>
          </w:p>
          <w:p w:rsidR="001836B5" w:rsidRPr="0051233B" w:rsidRDefault="00451F97" w:rsidP="00E97D29">
            <w:pPr>
              <w:pStyle w:val="Akapitzlist"/>
              <w:numPr>
                <w:ilvl w:val="0"/>
                <w:numId w:val="19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155">
              <w:rPr>
                <w:rFonts w:ascii="Times New Roman" w:hAnsi="Times New Roman" w:cs="Times New Roman"/>
                <w:sz w:val="20"/>
                <w:szCs w:val="20"/>
              </w:rPr>
              <w:t>do 48 tygodni</w:t>
            </w:r>
            <w:r w:rsidR="001836B5" w:rsidRPr="005D6155">
              <w:rPr>
                <w:rFonts w:ascii="Times New Roman" w:hAnsi="Times New Roman" w:cs="Times New Roman"/>
                <w:sz w:val="20"/>
                <w:szCs w:val="20"/>
              </w:rPr>
              <w:t xml:space="preserve"> – w przypadku terapii </w:t>
            </w:r>
            <w:r w:rsidR="00226892">
              <w:rPr>
                <w:rFonts w:ascii="Times New Roman" w:hAnsi="Times New Roman" w:cs="Times New Roman"/>
                <w:sz w:val="20"/>
                <w:szCs w:val="20"/>
              </w:rPr>
              <w:t>ustekin</w:t>
            </w:r>
            <w:r w:rsidR="00711215" w:rsidRPr="005D6155">
              <w:rPr>
                <w:rFonts w:ascii="Times New Roman" w:hAnsi="Times New Roman" w:cs="Times New Roman"/>
                <w:sz w:val="20"/>
                <w:szCs w:val="20"/>
              </w:rPr>
              <w:t>umabem lub adalimumab</w:t>
            </w:r>
            <w:r w:rsidR="00711215" w:rsidRPr="00366356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</w:p>
          <w:p w:rsidR="001836B5" w:rsidRPr="003E7ACE" w:rsidRDefault="001836B5" w:rsidP="00E97D29">
            <w:pPr>
              <w:pStyle w:val="Akapitzlist"/>
              <w:numPr>
                <w:ilvl w:val="0"/>
                <w:numId w:val="19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do 24 tygodni – w przypadku </w:t>
            </w:r>
            <w:r w:rsidR="00711215" w:rsidRPr="0051233B">
              <w:rPr>
                <w:rFonts w:ascii="Times New Roman" w:hAnsi="Times New Roman" w:cs="Times New Roman"/>
                <w:sz w:val="20"/>
                <w:szCs w:val="20"/>
              </w:rPr>
              <w:t>terapii etanerceptem</w:t>
            </w:r>
            <w:r w:rsidR="009E685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815255" w:rsidRDefault="00451F97" w:rsidP="00E97D29">
            <w:pPr>
              <w:pStyle w:val="Akapitzlist"/>
              <w:numPr>
                <w:ilvl w:val="0"/>
                <w:numId w:val="18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>W uzasadnionych przypadkach potwierdzonych decyzją Zespołu Koordynacyjnego do Spraw Leczenia Biologicznego w Łuszczycy Plackowatej</w:t>
            </w:r>
            <w:r w:rsidR="00EE293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 xml:space="preserve"> u niektórych pacjentów można zastosować w ramach programu terapię trwającą powyżej</w:t>
            </w:r>
            <w:r w:rsidR="0081525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15255" w:rsidRDefault="00815255" w:rsidP="00E97D29">
            <w:pPr>
              <w:pStyle w:val="Akapitzlist"/>
              <w:numPr>
                <w:ilvl w:val="1"/>
                <w:numId w:val="7"/>
              </w:numPr>
              <w:spacing w:after="0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96 tygodni - w przypadku terapii infliksymabem albo</w:t>
            </w:r>
          </w:p>
          <w:p w:rsidR="00815255" w:rsidRDefault="00451F97" w:rsidP="00E97D29">
            <w:pPr>
              <w:pStyle w:val="Akapitzlist"/>
              <w:numPr>
                <w:ilvl w:val="1"/>
                <w:numId w:val="7"/>
              </w:numPr>
              <w:spacing w:after="0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 xml:space="preserve"> 48 tygodni</w:t>
            </w:r>
            <w:r w:rsidR="001836B5" w:rsidRPr="003E7A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525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836B5" w:rsidRPr="003E7ACE">
              <w:rPr>
                <w:rFonts w:ascii="Times New Roman" w:hAnsi="Times New Roman" w:cs="Times New Roman"/>
                <w:sz w:val="20"/>
                <w:szCs w:val="20"/>
              </w:rPr>
              <w:t>w przypadku</w:t>
            </w:r>
            <w:r w:rsidR="00661F31">
              <w:rPr>
                <w:rFonts w:ascii="Times New Roman" w:hAnsi="Times New Roman" w:cs="Times New Roman"/>
                <w:sz w:val="20"/>
                <w:szCs w:val="20"/>
              </w:rPr>
              <w:t xml:space="preserve"> terapii</w:t>
            </w:r>
            <w:r w:rsidR="00406090">
              <w:rPr>
                <w:rFonts w:ascii="Times New Roman" w:hAnsi="Times New Roman" w:cs="Times New Roman"/>
                <w:sz w:val="20"/>
                <w:szCs w:val="20"/>
              </w:rPr>
              <w:t xml:space="preserve"> ustekin</w:t>
            </w:r>
            <w:r w:rsidR="001836B5" w:rsidRPr="003E7ACE">
              <w:rPr>
                <w:rFonts w:ascii="Times New Roman" w:hAnsi="Times New Roman" w:cs="Times New Roman"/>
                <w:sz w:val="20"/>
                <w:szCs w:val="20"/>
              </w:rPr>
              <w:t>umab</w:t>
            </w:r>
            <w:r w:rsidR="00661F31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1836B5" w:rsidRPr="003E7ACE">
              <w:rPr>
                <w:rFonts w:ascii="Times New Roman" w:hAnsi="Times New Roman" w:cs="Times New Roman"/>
                <w:sz w:val="20"/>
                <w:szCs w:val="20"/>
              </w:rPr>
              <w:t xml:space="preserve"> lub adalimumab</w:t>
            </w:r>
            <w:r w:rsidR="00661F31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81525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836B5" w:rsidRPr="003E7ACE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</w:p>
          <w:p w:rsidR="00815255" w:rsidRDefault="001836B5" w:rsidP="00E97D29">
            <w:pPr>
              <w:pStyle w:val="Akapitzlist"/>
              <w:numPr>
                <w:ilvl w:val="1"/>
                <w:numId w:val="7"/>
              </w:numPr>
              <w:spacing w:after="0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 xml:space="preserve">24 tygodni </w:t>
            </w:r>
            <w:r w:rsidR="0081525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>w przypadku</w:t>
            </w:r>
            <w:r w:rsidR="00661F31">
              <w:rPr>
                <w:rFonts w:ascii="Times New Roman" w:hAnsi="Times New Roman" w:cs="Times New Roman"/>
                <w:sz w:val="20"/>
                <w:szCs w:val="20"/>
              </w:rPr>
              <w:t xml:space="preserve"> terapii</w:t>
            </w: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 xml:space="preserve"> etanercept</w:t>
            </w:r>
            <w:r w:rsidR="00661F31">
              <w:rPr>
                <w:rFonts w:ascii="Times New Roman" w:hAnsi="Times New Roman" w:cs="Times New Roman"/>
                <w:sz w:val="20"/>
                <w:szCs w:val="20"/>
              </w:rPr>
              <w:t>em</w:t>
            </w:r>
            <w:r w:rsidR="0081525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51F97" w:rsidRPr="00815255" w:rsidRDefault="00815255" w:rsidP="00815255">
            <w:pPr>
              <w:spacing w:after="0"/>
              <w:ind w:left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-przy czym d</w:t>
            </w:r>
            <w:r w:rsidR="00451F97" w:rsidRPr="00815255">
              <w:rPr>
                <w:rFonts w:ascii="Times New Roman" w:hAnsi="Times New Roman" w:cs="Times New Roman"/>
                <w:sz w:val="20"/>
                <w:szCs w:val="20"/>
              </w:rPr>
              <w:t>ługość trwania takiej terapii określa Zespół Koordynacyjny do Spraw Leczenia Biologicznego w Łuszczycy Plackowatej.</w:t>
            </w:r>
          </w:p>
          <w:p w:rsidR="00B00E16" w:rsidRPr="00DD33EE" w:rsidRDefault="00B00E16" w:rsidP="00DD33EE">
            <w:pPr>
              <w:pStyle w:val="Akapitzlist"/>
              <w:numPr>
                <w:ilvl w:val="0"/>
                <w:numId w:val="18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33EE">
              <w:rPr>
                <w:rFonts w:ascii="Times New Roman" w:hAnsi="Times New Roman" w:cs="Times New Roman"/>
                <w:sz w:val="20"/>
                <w:szCs w:val="20"/>
              </w:rPr>
              <w:t>Terapię i udział pacjenta w programie należy przerwać w przypadku nie uzyskania adekwatnej odpowiedzi na leczenie:</w:t>
            </w:r>
          </w:p>
          <w:p w:rsidR="00B00E16" w:rsidRPr="0051233B" w:rsidRDefault="007A5ED2" w:rsidP="00E97D29">
            <w:pPr>
              <w:pStyle w:val="Akapitzlist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 </w:t>
            </w:r>
            <w:r w:rsidR="00451F97" w:rsidRPr="0051233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451F97" w:rsidRPr="005D6155">
              <w:rPr>
                <w:rFonts w:ascii="Times New Roman" w:hAnsi="Times New Roman" w:cs="Times New Roman"/>
                <w:sz w:val="20"/>
                <w:szCs w:val="20"/>
              </w:rPr>
              <w:t xml:space="preserve"> tygodniach od podania pierwszej dawk</w:t>
            </w:r>
            <w:r w:rsidR="00451F97" w:rsidRPr="00366356">
              <w:rPr>
                <w:rFonts w:ascii="Times New Roman" w:hAnsi="Times New Roman" w:cs="Times New Roman"/>
                <w:sz w:val="20"/>
                <w:szCs w:val="20"/>
              </w:rPr>
              <w:t>i ustekinumabu</w:t>
            </w:r>
            <w:r w:rsidR="00836C82"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852F9" w:rsidRPr="0051233B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836C82"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00E16" w:rsidRPr="0051233B" w:rsidRDefault="00836C82" w:rsidP="00E97D29">
            <w:pPr>
              <w:pStyle w:val="Akapitzlist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po 16</w:t>
            </w:r>
            <w:r w:rsidR="00465318"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i 28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tygodniach od podania</w:t>
            </w:r>
            <w:r w:rsidR="00B00E16"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pierwszej dawki 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adalimumabu</w:t>
            </w:r>
            <w:r w:rsidR="00451F97" w:rsidRPr="0051233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C351C">
              <w:rPr>
                <w:rFonts w:ascii="Times New Roman" w:hAnsi="Times New Roman" w:cs="Times New Roman"/>
                <w:sz w:val="20"/>
                <w:szCs w:val="20"/>
              </w:rPr>
              <w:t xml:space="preserve"> albo</w:t>
            </w:r>
          </w:p>
          <w:p w:rsidR="00EE2933" w:rsidRDefault="00B00E16" w:rsidP="00E97D29">
            <w:pPr>
              <w:pStyle w:val="Akapitzlist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po 12 tygodniach od podania pierwszej dawki etanercep</w:t>
            </w:r>
            <w:r w:rsidR="00406090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267B43">
              <w:rPr>
                <w:rFonts w:ascii="Times New Roman" w:hAnsi="Times New Roman" w:cs="Times New Roman"/>
                <w:sz w:val="20"/>
                <w:szCs w:val="20"/>
              </w:rPr>
              <w:t>, albo</w:t>
            </w:r>
          </w:p>
          <w:p w:rsidR="00267B43" w:rsidRDefault="00267B43" w:rsidP="00E97D29">
            <w:pPr>
              <w:pStyle w:val="Akapitzlist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 14 tygodniach od podania pierwszej dawki infliksymabu.</w:t>
            </w:r>
          </w:p>
          <w:p w:rsidR="00451F97" w:rsidRPr="003E7ACE" w:rsidRDefault="00451F97" w:rsidP="003E7ACE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>Decyzja o zakończeniu leczenia zostaje przekazana do Zespołu Koordynacyjnego do Spraw Leczenia Biologicznego w Łuszczycy Plackowatej.</w:t>
            </w:r>
          </w:p>
          <w:p w:rsidR="00451F97" w:rsidRPr="005D6155" w:rsidRDefault="00451F97" w:rsidP="003E7AC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1F97" w:rsidRPr="0051233B" w:rsidRDefault="00451F97" w:rsidP="003E7ACE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63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 ponownego włączenia do programu</w:t>
            </w:r>
            <w:r w:rsidR="00BC06E9" w:rsidRPr="005123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:rsidR="009E685A" w:rsidRPr="003E7ACE" w:rsidRDefault="00451F97" w:rsidP="00E97D29">
            <w:pPr>
              <w:pStyle w:val="Akapitzlist"/>
              <w:numPr>
                <w:ilvl w:val="0"/>
                <w:numId w:val="21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Pacjent, u którego zaprzestano podawania </w:t>
            </w:r>
            <w:r w:rsidR="00E13C9B" w:rsidRPr="0051233B">
              <w:rPr>
                <w:rFonts w:ascii="Times New Roman" w:hAnsi="Times New Roman" w:cs="Times New Roman"/>
                <w:sz w:val="20"/>
                <w:szCs w:val="20"/>
              </w:rPr>
              <w:t>substancji czynnej</w:t>
            </w:r>
            <w:r w:rsidR="00226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3C9B" w:rsidRPr="003E7ACE">
              <w:rPr>
                <w:rFonts w:ascii="Times New Roman" w:hAnsi="Times New Roman" w:cs="Times New Roman"/>
                <w:sz w:val="20"/>
                <w:szCs w:val="20"/>
              </w:rPr>
              <w:t>wymienionej w programie i</w:t>
            </w: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 xml:space="preserve"> zastosowane</w:t>
            </w:r>
            <w:r w:rsidR="00E13C9B" w:rsidRPr="003E7ACE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 xml:space="preserve"> zgodnie z </w:t>
            </w:r>
            <w:r w:rsidR="00E13C9B" w:rsidRPr="003E7ACE">
              <w:rPr>
                <w:rFonts w:ascii="Times New Roman" w:hAnsi="Times New Roman" w:cs="Times New Roman"/>
                <w:sz w:val="20"/>
                <w:szCs w:val="20"/>
              </w:rPr>
              <w:t xml:space="preserve">jego </w:t>
            </w: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>treścią</w:t>
            </w:r>
            <w:r w:rsidR="00E13C9B" w:rsidRPr="003E7AC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 xml:space="preserve"> u którego </w:t>
            </w:r>
            <w:r w:rsidR="00815255">
              <w:rPr>
                <w:rFonts w:ascii="Times New Roman" w:hAnsi="Times New Roman" w:cs="Times New Roman"/>
                <w:sz w:val="20"/>
                <w:szCs w:val="20"/>
              </w:rPr>
              <w:t>stwierdzono adekwatną odpowiedź na leczenie</w:t>
            </w:r>
            <w:r w:rsidR="00EE2933" w:rsidRPr="003E7AC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 xml:space="preserve"> może być ponownie włączony do programu po zakwalifikowaniu przez Zespół Koordynacyjny do Spraw  Leczenia Biologicznego w Łuszczycy Plackowatej, jeżeli podczas badania kontrolnego stwierdzono nawrót choroby</w:t>
            </w:r>
            <w:r w:rsidR="00E13C9B" w:rsidRPr="003E7ACE">
              <w:rPr>
                <w:rFonts w:ascii="Times New Roman" w:hAnsi="Times New Roman" w:cs="Times New Roman"/>
                <w:sz w:val="20"/>
                <w:szCs w:val="20"/>
              </w:rPr>
              <w:t xml:space="preserve"> definiowany jako</w:t>
            </w:r>
            <w:r w:rsidR="00226892">
              <w:rPr>
                <w:rFonts w:ascii="Times New Roman" w:hAnsi="Times New Roman" w:cs="Times New Roman"/>
                <w:sz w:val="20"/>
                <w:szCs w:val="20"/>
              </w:rPr>
              <w:t xml:space="preserve"> wzrost wartości </w:t>
            </w:r>
            <w:r w:rsidRPr="005D6155">
              <w:rPr>
                <w:rFonts w:ascii="Times New Roman" w:hAnsi="Times New Roman" w:cs="Times New Roman"/>
                <w:sz w:val="20"/>
                <w:szCs w:val="20"/>
              </w:rPr>
              <w:t>wskaźników PASI, DLQI</w:t>
            </w:r>
            <w:r w:rsidR="00B00E16" w:rsidRPr="005D615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431045">
              <w:rPr>
                <w:rFonts w:ascii="Times New Roman" w:hAnsi="Times New Roman" w:cs="Times New Roman"/>
                <w:sz w:val="20"/>
                <w:szCs w:val="20"/>
              </w:rPr>
              <w:t xml:space="preserve">ew. </w:t>
            </w:r>
            <w:r w:rsidR="00B00E16" w:rsidRPr="005D6155">
              <w:rPr>
                <w:rFonts w:ascii="Times New Roman" w:hAnsi="Times New Roman" w:cs="Times New Roman"/>
                <w:sz w:val="20"/>
                <w:szCs w:val="20"/>
              </w:rPr>
              <w:t>CDLQI)</w:t>
            </w:r>
            <w:r w:rsidRPr="00366356">
              <w:rPr>
                <w:rFonts w:ascii="Times New Roman" w:hAnsi="Times New Roman" w:cs="Times New Roman"/>
                <w:sz w:val="20"/>
                <w:szCs w:val="20"/>
              </w:rPr>
              <w:t xml:space="preserve"> oraz BSA o co najmniej 50% w stosunku do wartości obliczonej w momencie odstawienia leku</w:t>
            </w:r>
            <w:r w:rsidR="00E13C9B" w:rsidRPr="0051233B">
              <w:rPr>
                <w:rFonts w:ascii="Times New Roman" w:hAnsi="Times New Roman" w:cs="Times New Roman"/>
                <w:sz w:val="20"/>
                <w:szCs w:val="20"/>
              </w:rPr>
              <w:t>, przy czym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3C9B" w:rsidRPr="0051233B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Pr="0051233B">
              <w:rPr>
                <w:rFonts w:ascii="Times New Roman" w:hAnsi="Times New Roman" w:cs="Times New Roman"/>
                <w:bCs/>
                <w:sz w:val="20"/>
                <w:szCs w:val="20"/>
              </w:rPr>
              <w:t>artość wskaźnika PASI musi być większa niż 10, a do dokumentacji dołącza się zdjęcia-pliki</w:t>
            </w:r>
            <w:r w:rsidR="00E13C9B" w:rsidRPr="005123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1233B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="00E13C9B" w:rsidRPr="0051233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51233B">
              <w:rPr>
                <w:rFonts w:ascii="Times New Roman" w:hAnsi="Times New Roman" w:cs="Times New Roman"/>
                <w:bCs/>
                <w:sz w:val="20"/>
                <w:szCs w:val="20"/>
              </w:rPr>
              <w:t>jp</w:t>
            </w:r>
            <w:r w:rsidR="00661F31">
              <w:rPr>
                <w:rFonts w:ascii="Times New Roman" w:hAnsi="Times New Roman" w:cs="Times New Roman"/>
                <w:bCs/>
                <w:sz w:val="20"/>
                <w:szCs w:val="20"/>
              </w:rPr>
              <w:t>g,</w:t>
            </w:r>
            <w:r w:rsidRPr="005123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tak jak przy kwalifikacji do programu.</w:t>
            </w:r>
            <w:r w:rsidRPr="005123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661F31" w:rsidRDefault="00451F97" w:rsidP="00E97D29">
            <w:pPr>
              <w:pStyle w:val="Akapitzlist"/>
              <w:numPr>
                <w:ilvl w:val="0"/>
                <w:numId w:val="21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 xml:space="preserve">Do programu może być ponownie włączony również pacjent, u którego zaprzestano podawania </w:t>
            </w:r>
            <w:r w:rsidR="00E13C9B" w:rsidRPr="003E7ACE">
              <w:rPr>
                <w:rFonts w:ascii="Times New Roman" w:hAnsi="Times New Roman" w:cs="Times New Roman"/>
                <w:sz w:val="20"/>
                <w:szCs w:val="20"/>
              </w:rPr>
              <w:t xml:space="preserve">substancji czynnej wymienionej w programie i </w:t>
            </w: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>zastosowane</w:t>
            </w:r>
            <w:r w:rsidR="00E13C9B" w:rsidRPr="005D6155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Pr="005D6155">
              <w:rPr>
                <w:rFonts w:ascii="Times New Roman" w:hAnsi="Times New Roman" w:cs="Times New Roman"/>
                <w:sz w:val="20"/>
                <w:szCs w:val="20"/>
              </w:rPr>
              <w:t xml:space="preserve"> zgodnie z</w:t>
            </w:r>
            <w:r w:rsidR="00E13C9B" w:rsidRPr="005D6155">
              <w:rPr>
                <w:rFonts w:ascii="Times New Roman" w:hAnsi="Times New Roman" w:cs="Times New Roman"/>
                <w:sz w:val="20"/>
                <w:szCs w:val="20"/>
              </w:rPr>
              <w:t xml:space="preserve"> jego</w:t>
            </w:r>
            <w:r w:rsidRPr="005D6155">
              <w:rPr>
                <w:rFonts w:ascii="Times New Roman" w:hAnsi="Times New Roman" w:cs="Times New Roman"/>
                <w:sz w:val="20"/>
                <w:szCs w:val="20"/>
              </w:rPr>
              <w:t xml:space="preserve"> treścią z powodu</w:t>
            </w:r>
            <w:r w:rsidR="00661F3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5D61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61F31" w:rsidRDefault="00451F97" w:rsidP="00E97D29">
            <w:pPr>
              <w:pStyle w:val="Akapitzlist"/>
              <w:numPr>
                <w:ilvl w:val="0"/>
                <w:numId w:val="26"/>
              </w:numPr>
              <w:spacing w:after="0"/>
              <w:ind w:left="714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155">
              <w:rPr>
                <w:rFonts w:ascii="Times New Roman" w:hAnsi="Times New Roman" w:cs="Times New Roman"/>
                <w:sz w:val="20"/>
                <w:szCs w:val="20"/>
              </w:rPr>
              <w:t>wystąpienia działań niepożądanych, które ustąpiły po odstawieniu leku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bądź zastosowan</w:t>
            </w:r>
            <w:r w:rsidR="009E685A">
              <w:rPr>
                <w:rFonts w:ascii="Times New Roman" w:hAnsi="Times New Roman" w:cs="Times New Roman"/>
                <w:sz w:val="20"/>
                <w:szCs w:val="20"/>
              </w:rPr>
              <w:t>ym</w:t>
            </w: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 xml:space="preserve"> leczeni</w:t>
            </w:r>
            <w:r w:rsidR="009E685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351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>lb</w:t>
            </w:r>
            <w:r w:rsidR="008C351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B05AA" w:rsidRDefault="00451F97" w:rsidP="00E97D29">
            <w:pPr>
              <w:pStyle w:val="Akapitzlist"/>
              <w:numPr>
                <w:ilvl w:val="0"/>
                <w:numId w:val="26"/>
              </w:numPr>
              <w:spacing w:after="0"/>
              <w:ind w:left="357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>z powodu planowanej przerwy w leczeniu</w:t>
            </w:r>
            <w:r w:rsidR="001B05A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51F97" w:rsidRPr="003E7ACE" w:rsidRDefault="008C351C" w:rsidP="003006BB">
            <w:pPr>
              <w:pStyle w:val="Akapitzlist"/>
              <w:spacing w:after="0"/>
              <w:ind w:left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451F97" w:rsidRPr="003E7ACE">
              <w:rPr>
                <w:rFonts w:ascii="Times New Roman" w:hAnsi="Times New Roman" w:cs="Times New Roman"/>
                <w:sz w:val="20"/>
                <w:szCs w:val="20"/>
              </w:rPr>
              <w:t xml:space="preserve">onownej kwalifikacji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 programu dokonuje </w:t>
            </w:r>
            <w:r w:rsidR="00451F97" w:rsidRPr="003E7ACE">
              <w:rPr>
                <w:rFonts w:ascii="Times New Roman" w:hAnsi="Times New Roman" w:cs="Times New Roman"/>
                <w:sz w:val="20"/>
                <w:szCs w:val="20"/>
              </w:rPr>
              <w:t>Zespół Koordynacyjny do Spraw Leczenia Biologicznego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</w:t>
            </w:r>
            <w:r w:rsidR="00451F97" w:rsidRPr="003E7ACE">
              <w:rPr>
                <w:rFonts w:ascii="Times New Roman" w:hAnsi="Times New Roman" w:cs="Times New Roman"/>
                <w:sz w:val="20"/>
                <w:szCs w:val="20"/>
              </w:rPr>
              <w:t xml:space="preserve"> Łuszczycy Plackowatej. </w:t>
            </w:r>
          </w:p>
        </w:tc>
        <w:tc>
          <w:tcPr>
            <w:tcW w:w="1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F97" w:rsidRDefault="00451F97" w:rsidP="00E97D29">
            <w:pPr>
              <w:pStyle w:val="Akapitzlist"/>
              <w:numPr>
                <w:ilvl w:val="0"/>
                <w:numId w:val="23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Dawkowanie</w:t>
            </w:r>
            <w:r w:rsidR="005611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:rsidR="00F735E1" w:rsidRPr="00F735E1" w:rsidRDefault="00F735E1" w:rsidP="00F735E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72033" w:rsidRDefault="00872033" w:rsidP="00E97D29">
            <w:pPr>
              <w:pStyle w:val="Akapitzlist"/>
              <w:numPr>
                <w:ilvl w:val="0"/>
                <w:numId w:val="24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Dorośli:</w:t>
            </w:r>
          </w:p>
          <w:p w:rsidR="009162D2" w:rsidRDefault="00974F05" w:rsidP="005D615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1779">
              <w:rPr>
                <w:rFonts w:ascii="Times New Roman" w:hAnsi="Times New Roman" w:cs="Times New Roman"/>
                <w:b/>
                <w:sz w:val="20"/>
                <w:szCs w:val="20"/>
              </w:rPr>
              <w:t>Infliksymab: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Dawkę 5 mg/kg masy ciała należy podawać w infuzji dożylnej w tygodniach 0,2,6, a następnie co 8 tygodni. </w:t>
            </w:r>
          </w:p>
          <w:p w:rsidR="00451F97" w:rsidRPr="0051233B" w:rsidRDefault="00943C27" w:rsidP="0051233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17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Adalimumab: </w:t>
            </w:r>
            <w:r w:rsidR="00872033" w:rsidRPr="0051233B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awka początkowa adalimumabu u dorosłych pacjentów wynosi 80 mg podskórnie, a następnie po upływie jednego tygodnia od podania dawki początkowej stosuje się dawkę 40 mg podskórnie co drugi tydzień.</w:t>
            </w:r>
          </w:p>
          <w:p w:rsidR="00872033" w:rsidRDefault="00872033" w:rsidP="0051233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1779">
              <w:rPr>
                <w:rFonts w:ascii="Times New Roman" w:hAnsi="Times New Roman" w:cs="Times New Roman"/>
                <w:b/>
                <w:sz w:val="20"/>
                <w:szCs w:val="20"/>
              </w:rPr>
              <w:t>Etanercept:</w:t>
            </w:r>
            <w:r w:rsidR="00B117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611F4" w:rsidRPr="009F2594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9F2594">
              <w:rPr>
                <w:rFonts w:ascii="Times New Roman" w:hAnsi="Times New Roman" w:cs="Times New Roman"/>
                <w:sz w:val="20"/>
                <w:szCs w:val="20"/>
              </w:rPr>
              <w:t>awk</w:t>
            </w:r>
            <w:r w:rsidR="005611F4" w:rsidRPr="009F2594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9F2594">
              <w:rPr>
                <w:rFonts w:ascii="Times New Roman" w:hAnsi="Times New Roman" w:cs="Times New Roman"/>
                <w:sz w:val="20"/>
                <w:szCs w:val="20"/>
              </w:rPr>
              <w:t xml:space="preserve"> 25 mg pod</w:t>
            </w:r>
            <w:r w:rsidR="00DF4087" w:rsidRPr="009F259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F2594">
              <w:rPr>
                <w:rFonts w:ascii="Times New Roman" w:hAnsi="Times New Roman" w:cs="Times New Roman"/>
                <w:sz w:val="20"/>
                <w:szCs w:val="20"/>
              </w:rPr>
              <w:t>wa</w:t>
            </w:r>
            <w:r w:rsidR="005611F4" w:rsidRPr="009F2594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Pr="009F2594">
              <w:rPr>
                <w:rFonts w:ascii="Times New Roman" w:hAnsi="Times New Roman" w:cs="Times New Roman"/>
                <w:sz w:val="20"/>
                <w:szCs w:val="20"/>
              </w:rPr>
              <w:t xml:space="preserve"> dwa razy w tygodniu podskórnie lub 50 mg raz w tygodniu</w:t>
            </w:r>
            <w:r w:rsidR="005611F4" w:rsidRPr="009F259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E607B8" w:rsidRPr="009F2594">
              <w:rPr>
                <w:rFonts w:ascii="Times New Roman" w:hAnsi="Times New Roman" w:cs="Times New Roman"/>
                <w:sz w:val="20"/>
                <w:szCs w:val="20"/>
              </w:rPr>
              <w:t>W uzasadnionych przypadkach</w:t>
            </w:r>
            <w:r w:rsidR="005611F4" w:rsidRPr="009F2594">
              <w:rPr>
                <w:rFonts w:ascii="Times New Roman" w:hAnsi="Times New Roman" w:cs="Times New Roman"/>
                <w:sz w:val="20"/>
                <w:szCs w:val="20"/>
              </w:rPr>
              <w:t xml:space="preserve"> można stosować dawkę 50 mg dwa razy w tygodniu przez okres do 12 tygodni, a następnie w przypadku uzyskania pozytywnej odpowiedzi na leczenie kontynuować podawanie dawki 25 mg dwa razy</w:t>
            </w:r>
            <w:r w:rsidR="009F2594" w:rsidRPr="009F2594">
              <w:rPr>
                <w:rFonts w:ascii="Times New Roman" w:hAnsi="Times New Roman" w:cs="Times New Roman"/>
                <w:sz w:val="20"/>
                <w:szCs w:val="20"/>
              </w:rPr>
              <w:t xml:space="preserve"> w tygodniu</w:t>
            </w:r>
            <w:r w:rsidR="005611F4" w:rsidRPr="009F2594">
              <w:rPr>
                <w:rFonts w:ascii="Times New Roman" w:hAnsi="Times New Roman" w:cs="Times New Roman"/>
                <w:sz w:val="20"/>
                <w:szCs w:val="20"/>
              </w:rPr>
              <w:t xml:space="preserve"> lub 50 mg raz w tygodniu.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4F05" w:rsidRPr="00974F05" w:rsidRDefault="00974F05" w:rsidP="00974F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17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Ustekinumab: </w:t>
            </w:r>
            <w:r w:rsidRPr="00974F05">
              <w:rPr>
                <w:rFonts w:ascii="Times New Roman" w:hAnsi="Times New Roman" w:cs="Times New Roman"/>
                <w:sz w:val="20"/>
                <w:szCs w:val="20"/>
              </w:rPr>
              <w:t xml:space="preserve">Dawkę początkową 45 mg podać podskórnie,następnie 45 mg po 4 tygodniach, a potem 45 mg co 12 tygodni. </w:t>
            </w:r>
          </w:p>
          <w:p w:rsidR="00872033" w:rsidRDefault="00974F05" w:rsidP="00974F0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4F05">
              <w:rPr>
                <w:rFonts w:ascii="Times New Roman" w:hAnsi="Times New Roman" w:cs="Times New Roman"/>
                <w:sz w:val="20"/>
                <w:szCs w:val="20"/>
              </w:rPr>
              <w:t>U pacjentów z masą ciała powyżej 100 kg dawka początkowa wynosi 90 mg podawana podskórnie, następnie ta sama dawka po 4 tygodniach, a potem co 12 tygodni.</w:t>
            </w:r>
          </w:p>
          <w:p w:rsidR="00872033" w:rsidRDefault="00872033" w:rsidP="00E97D29">
            <w:pPr>
              <w:pStyle w:val="Akapitzlist"/>
              <w:numPr>
                <w:ilvl w:val="0"/>
                <w:numId w:val="24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Dzieci i młodzież w wieku </w:t>
            </w:r>
            <w:r w:rsidR="005D6155"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od 6 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do 18 lat:</w:t>
            </w:r>
          </w:p>
          <w:p w:rsidR="00872033" w:rsidRPr="00B11779" w:rsidRDefault="00872033" w:rsidP="0051233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1779">
              <w:rPr>
                <w:rFonts w:ascii="Times New Roman" w:hAnsi="Times New Roman" w:cs="Times New Roman"/>
                <w:b/>
                <w:sz w:val="20"/>
                <w:szCs w:val="20"/>
              </w:rPr>
              <w:t>Etanercep</w:t>
            </w:r>
            <w:r w:rsidR="00705B3B" w:rsidRPr="00B11779">
              <w:rPr>
                <w:rFonts w:ascii="Times New Roman" w:hAnsi="Times New Roman" w:cs="Times New Roman"/>
                <w:b/>
                <w:sz w:val="20"/>
                <w:szCs w:val="20"/>
              </w:rPr>
              <w:t>t</w:t>
            </w:r>
            <w:r w:rsidRPr="00B11779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872033" w:rsidRPr="0051233B" w:rsidRDefault="00872033" w:rsidP="0051233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Dawk</w:t>
            </w:r>
            <w:r w:rsidR="005611F4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0,8 mg/kg m.c. do maksymalnej dawki 50 mg 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podawa</w:t>
            </w:r>
            <w:r w:rsidR="005611F4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raz w tygodniu.</w:t>
            </w:r>
          </w:p>
        </w:tc>
        <w:tc>
          <w:tcPr>
            <w:tcW w:w="16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1F97" w:rsidRDefault="00451F97" w:rsidP="00E97D29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Badania przy kwalifikacji</w:t>
            </w:r>
            <w:r w:rsidR="005611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5123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F735E1" w:rsidRPr="00F735E1" w:rsidRDefault="00F735E1" w:rsidP="00F735E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51F97" w:rsidRPr="003E7ACE" w:rsidRDefault="00467DB8" w:rsidP="00E97D29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>morfologia krwi z rozmazem;</w:t>
            </w:r>
          </w:p>
          <w:p w:rsidR="00451F97" w:rsidRPr="003E7ACE" w:rsidRDefault="00467DB8" w:rsidP="00E97D29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>badanie ogólne moczu;</w:t>
            </w:r>
          </w:p>
          <w:p w:rsidR="00451F97" w:rsidRPr="003E7ACE" w:rsidRDefault="00451F97" w:rsidP="00E97D29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>odczyn Biernackiego OB,</w:t>
            </w:r>
          </w:p>
          <w:p w:rsidR="00451F97" w:rsidRPr="003E7ACE" w:rsidRDefault="00451F97" w:rsidP="00E97D29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>amin</w:t>
            </w:r>
            <w:r w:rsidR="00467DB8" w:rsidRPr="003E7ACE">
              <w:rPr>
                <w:rFonts w:ascii="Times New Roman" w:hAnsi="Times New Roman" w:cs="Times New Roman"/>
                <w:sz w:val="20"/>
                <w:szCs w:val="20"/>
              </w:rPr>
              <w:t>otransferaza asparagin</w:t>
            </w:r>
            <w:r w:rsidR="00C34B14">
              <w:rPr>
                <w:rFonts w:ascii="Times New Roman" w:hAnsi="Times New Roman" w:cs="Times New Roman"/>
                <w:sz w:val="20"/>
                <w:szCs w:val="20"/>
              </w:rPr>
              <w:t>ian</w:t>
            </w:r>
            <w:r w:rsidR="00467DB8" w:rsidRPr="003E7ACE">
              <w:rPr>
                <w:rFonts w:ascii="Times New Roman" w:hAnsi="Times New Roman" w:cs="Times New Roman"/>
                <w:sz w:val="20"/>
                <w:szCs w:val="20"/>
              </w:rPr>
              <w:t>owa AspAT;</w:t>
            </w: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51F97" w:rsidRPr="003E7ACE" w:rsidRDefault="00451F97" w:rsidP="00E97D29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>aminotransferaza alaninowa AlA</w:t>
            </w:r>
            <w:r w:rsidR="00467DB8" w:rsidRPr="003E7ACE">
              <w:rPr>
                <w:rFonts w:ascii="Times New Roman" w:hAnsi="Times New Roman" w:cs="Times New Roman"/>
                <w:sz w:val="20"/>
                <w:szCs w:val="20"/>
              </w:rPr>
              <w:t>T;</w:t>
            </w:r>
          </w:p>
          <w:p w:rsidR="00451F97" w:rsidRPr="005D6155" w:rsidRDefault="00467DB8" w:rsidP="00E97D29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>krea</w:t>
            </w:r>
            <w:r w:rsidR="00226892">
              <w:rPr>
                <w:rFonts w:ascii="Times New Roman" w:hAnsi="Times New Roman" w:cs="Times New Roman"/>
                <w:sz w:val="20"/>
                <w:szCs w:val="20"/>
              </w:rPr>
              <w:t>tynina</w:t>
            </w: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6892">
              <w:rPr>
                <w:rFonts w:ascii="Times New Roman" w:hAnsi="Times New Roman" w:cs="Times New Roman"/>
                <w:sz w:val="20"/>
                <w:szCs w:val="20"/>
              </w:rPr>
              <w:t>i mocznik</w:t>
            </w:r>
            <w:r w:rsidR="005E228D" w:rsidRPr="005D61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D6155">
              <w:rPr>
                <w:rFonts w:ascii="Times New Roman" w:hAnsi="Times New Roman" w:cs="Times New Roman"/>
                <w:sz w:val="20"/>
                <w:szCs w:val="20"/>
              </w:rPr>
              <w:t>w surowicy;</w:t>
            </w:r>
            <w:r w:rsidR="00451F97" w:rsidRPr="005D61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51F97" w:rsidRPr="005D6155" w:rsidRDefault="00451F97" w:rsidP="00E97D29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155">
              <w:rPr>
                <w:rFonts w:ascii="Times New Roman" w:hAnsi="Times New Roman" w:cs="Times New Roman"/>
                <w:sz w:val="20"/>
                <w:szCs w:val="20"/>
              </w:rPr>
              <w:t>próba tub</w:t>
            </w:r>
            <w:r w:rsidR="00467DB8" w:rsidRPr="005D6155">
              <w:rPr>
                <w:rFonts w:ascii="Times New Roman" w:hAnsi="Times New Roman" w:cs="Times New Roman"/>
                <w:sz w:val="20"/>
                <w:szCs w:val="20"/>
              </w:rPr>
              <w:t>erkulinowa lub</w:t>
            </w:r>
            <w:r w:rsidR="005E228D" w:rsidRPr="005D6155">
              <w:rPr>
                <w:rFonts w:ascii="Times New Roman" w:hAnsi="Times New Roman" w:cs="Times New Roman"/>
                <w:sz w:val="20"/>
                <w:szCs w:val="20"/>
              </w:rPr>
              <w:t xml:space="preserve"> test</w:t>
            </w:r>
            <w:r w:rsidR="00467DB8" w:rsidRPr="005D6155">
              <w:rPr>
                <w:rFonts w:ascii="Times New Roman" w:hAnsi="Times New Roman" w:cs="Times New Roman"/>
                <w:sz w:val="20"/>
                <w:szCs w:val="20"/>
              </w:rPr>
              <w:t xml:space="preserve"> Quantiferon;</w:t>
            </w:r>
          </w:p>
          <w:p w:rsidR="00451F97" w:rsidRPr="0051233B" w:rsidRDefault="00451F97" w:rsidP="00E97D29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6356">
              <w:rPr>
                <w:rFonts w:ascii="Times New Roman" w:hAnsi="Times New Roman" w:cs="Times New Roman"/>
                <w:sz w:val="20"/>
                <w:szCs w:val="20"/>
              </w:rPr>
              <w:t>RTG klatki piersiowej z opisem (maksymalnie do</w:t>
            </w:r>
            <w:r w:rsidR="00467DB8" w:rsidRPr="00366356">
              <w:rPr>
                <w:rFonts w:ascii="Times New Roman" w:hAnsi="Times New Roman" w:cs="Times New Roman"/>
                <w:sz w:val="20"/>
                <w:szCs w:val="20"/>
              </w:rPr>
              <w:t xml:space="preserve"> 3 miesięcy przed kwalifikacją);</w:t>
            </w:r>
          </w:p>
          <w:p w:rsidR="00451F97" w:rsidRPr="0051233B" w:rsidRDefault="00467DB8" w:rsidP="00E97D29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EKG z opisem</w:t>
            </w:r>
            <w:r w:rsidR="005E228D"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(w przypadku pacjentów w wieku </w:t>
            </w:r>
            <w:r w:rsidR="002A2000">
              <w:rPr>
                <w:rFonts w:ascii="Times New Roman" w:hAnsi="Times New Roman" w:cs="Times New Roman"/>
                <w:sz w:val="20"/>
                <w:szCs w:val="20"/>
              </w:rPr>
              <w:t xml:space="preserve">od 6 </w:t>
            </w:r>
            <w:r w:rsidR="005E228D" w:rsidRPr="0051233B">
              <w:rPr>
                <w:rFonts w:ascii="Times New Roman" w:hAnsi="Times New Roman" w:cs="Times New Roman"/>
                <w:sz w:val="20"/>
                <w:szCs w:val="20"/>
              </w:rPr>
              <w:t>do 18 lat</w:t>
            </w:r>
            <w:r w:rsidR="00226892">
              <w:rPr>
                <w:rFonts w:ascii="Times New Roman" w:hAnsi="Times New Roman" w:cs="Times New Roman"/>
                <w:sz w:val="20"/>
                <w:szCs w:val="20"/>
              </w:rPr>
              <w:t xml:space="preserve"> – do decyzj</w:t>
            </w:r>
            <w:r w:rsidR="002A2000">
              <w:rPr>
                <w:rFonts w:ascii="Times New Roman" w:hAnsi="Times New Roman" w:cs="Times New Roman"/>
                <w:sz w:val="20"/>
                <w:szCs w:val="20"/>
              </w:rPr>
              <w:t>i lekarza prowadzące</w:t>
            </w:r>
            <w:r w:rsidR="00226892"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="005E228D" w:rsidRPr="0051233B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451F97" w:rsidRPr="0051233B" w:rsidRDefault="00467DB8" w:rsidP="00E97D29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obecność antygenu HBS;</w:t>
            </w:r>
            <w:r w:rsidR="00451F97"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51F97" w:rsidRPr="003E7ACE" w:rsidRDefault="00467DB8" w:rsidP="00E97D29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przeciwciała anty-HCV</w:t>
            </w:r>
            <w:r w:rsidR="009D26A0" w:rsidRPr="003E7A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5B6C" w:rsidRPr="003E7ACE">
              <w:rPr>
                <w:rFonts w:ascii="Times New Roman" w:hAnsi="Times New Roman" w:cs="Times New Roman"/>
                <w:sz w:val="20"/>
                <w:szCs w:val="20"/>
              </w:rPr>
              <w:t xml:space="preserve">(w przypadku pozytywnego wyniku </w:t>
            </w:r>
            <w:r w:rsidR="00226892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465B6C" w:rsidRPr="003E7ACE">
              <w:rPr>
                <w:rFonts w:ascii="Times New Roman" w:hAnsi="Times New Roman" w:cs="Times New Roman"/>
                <w:sz w:val="20"/>
                <w:szCs w:val="20"/>
              </w:rPr>
              <w:t xml:space="preserve"> oznacz</w:t>
            </w:r>
            <w:r w:rsidR="00226892">
              <w:rPr>
                <w:rFonts w:ascii="Times New Roman" w:hAnsi="Times New Roman" w:cs="Times New Roman"/>
                <w:sz w:val="20"/>
                <w:szCs w:val="20"/>
              </w:rPr>
              <w:t>yć</w:t>
            </w:r>
            <w:r w:rsidR="00465B6C" w:rsidRPr="003E7ACE">
              <w:rPr>
                <w:rFonts w:ascii="Times New Roman" w:hAnsi="Times New Roman" w:cs="Times New Roman"/>
                <w:sz w:val="20"/>
                <w:szCs w:val="20"/>
              </w:rPr>
              <w:t xml:space="preserve"> PCR HCV metodą ilościową)</w:t>
            </w: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51F97" w:rsidRPr="003E7ACE" w:rsidRDefault="0058705F" w:rsidP="00E97D29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>przeciwciała anty-</w:t>
            </w:r>
            <w:r w:rsidR="00467DB8" w:rsidRPr="003E7ACE">
              <w:rPr>
                <w:rFonts w:ascii="Times New Roman" w:hAnsi="Times New Roman" w:cs="Times New Roman"/>
                <w:sz w:val="20"/>
                <w:szCs w:val="20"/>
              </w:rPr>
              <w:t>HIV;</w:t>
            </w:r>
          </w:p>
          <w:p w:rsidR="00451F97" w:rsidRPr="005D6155" w:rsidRDefault="00451F97" w:rsidP="00E97D29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155">
              <w:rPr>
                <w:rFonts w:ascii="Times New Roman" w:hAnsi="Times New Roman" w:cs="Times New Roman"/>
                <w:sz w:val="20"/>
                <w:szCs w:val="20"/>
              </w:rPr>
              <w:t>przeciwciała przeciwko Borrelia</w:t>
            </w:r>
            <w:r w:rsidR="00836C82" w:rsidRPr="005D61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7DB8" w:rsidRPr="005D6155">
              <w:rPr>
                <w:rFonts w:ascii="Times New Roman" w:hAnsi="Times New Roman" w:cs="Times New Roman"/>
                <w:sz w:val="20"/>
                <w:szCs w:val="20"/>
              </w:rPr>
              <w:t>burgdorferi;</w:t>
            </w:r>
          </w:p>
          <w:p w:rsidR="00451F97" w:rsidRPr="00366356" w:rsidRDefault="00467DB8" w:rsidP="00E97D29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6356">
              <w:rPr>
                <w:rFonts w:ascii="Times New Roman" w:hAnsi="Times New Roman" w:cs="Times New Roman"/>
                <w:sz w:val="20"/>
                <w:szCs w:val="20"/>
              </w:rPr>
              <w:t>USG jamy brzusznej;</w:t>
            </w:r>
          </w:p>
          <w:p w:rsidR="00451F97" w:rsidRPr="0051233B" w:rsidRDefault="00467DB8" w:rsidP="00E97D29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ASO;</w:t>
            </w:r>
          </w:p>
          <w:p w:rsidR="00451F97" w:rsidRPr="0051233B" w:rsidRDefault="00467DB8" w:rsidP="00E97D29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przeciwciała ANA;</w:t>
            </w:r>
          </w:p>
          <w:p w:rsidR="00451F97" w:rsidRPr="0051233B" w:rsidRDefault="00467DB8" w:rsidP="00E97D29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VDRL;</w:t>
            </w:r>
          </w:p>
          <w:p w:rsidR="00451F97" w:rsidRPr="0051233B" w:rsidRDefault="00451F97" w:rsidP="00E97D29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konsultacje lekarskie w kierunku ognisk siejących  (laryngologiczna, s</w:t>
            </w:r>
            <w:r w:rsidR="00467DB8" w:rsidRPr="0051233B">
              <w:rPr>
                <w:rFonts w:ascii="Times New Roman" w:hAnsi="Times New Roman" w:cs="Times New Roman"/>
                <w:sz w:val="20"/>
                <w:szCs w:val="20"/>
              </w:rPr>
              <w:t>tomatologiczna, ginekologiczna);</w:t>
            </w:r>
          </w:p>
          <w:p w:rsidR="00451F97" w:rsidRPr="0051233B" w:rsidRDefault="00451F97" w:rsidP="00E97D29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wykluczenie ciąży</w:t>
            </w:r>
            <w:r w:rsidR="00467DB8" w:rsidRPr="0051233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51F97" w:rsidRPr="0051233B" w:rsidRDefault="00451F97" w:rsidP="00E97D29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wykonanie zdj</w:t>
            </w:r>
            <w:r w:rsidR="00467DB8" w:rsidRPr="0051233B">
              <w:rPr>
                <w:rFonts w:ascii="Times New Roman" w:hAnsi="Times New Roman" w:cs="Times New Roman"/>
                <w:sz w:val="20"/>
                <w:szCs w:val="20"/>
              </w:rPr>
              <w:t>ęć miejsc dotkniętych łuszczycą</w:t>
            </w:r>
            <w:r w:rsidR="007307ED"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(w celu </w:t>
            </w:r>
            <w:r w:rsidR="002A2000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226892">
              <w:rPr>
                <w:rFonts w:ascii="Times New Roman" w:hAnsi="Times New Roman" w:cs="Times New Roman"/>
                <w:sz w:val="20"/>
                <w:szCs w:val="20"/>
              </w:rPr>
              <w:t>łączeni</w:t>
            </w:r>
            <w:r w:rsidR="002A200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307ED"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039E">
              <w:rPr>
                <w:rFonts w:ascii="Times New Roman" w:hAnsi="Times New Roman" w:cs="Times New Roman"/>
                <w:sz w:val="20"/>
                <w:szCs w:val="20"/>
              </w:rPr>
              <w:t>zdjęć-</w:t>
            </w:r>
            <w:r w:rsidR="007307ED" w:rsidRPr="0051233B">
              <w:rPr>
                <w:rFonts w:ascii="Times New Roman" w:hAnsi="Times New Roman" w:cs="Times New Roman"/>
                <w:sz w:val="20"/>
                <w:szCs w:val="20"/>
              </w:rPr>
              <w:t>plików *.j</w:t>
            </w:r>
            <w:r w:rsidR="00034B8E" w:rsidRPr="0051233B">
              <w:rPr>
                <w:rFonts w:ascii="Times New Roman" w:hAnsi="Times New Roman" w:cs="Times New Roman"/>
                <w:sz w:val="20"/>
                <w:szCs w:val="20"/>
              </w:rPr>
              <w:t>pg</w:t>
            </w:r>
            <w:r w:rsidR="007307ED" w:rsidRPr="0051233B">
              <w:rPr>
                <w:rFonts w:ascii="Times New Roman" w:hAnsi="Times New Roman" w:cs="Times New Roman"/>
                <w:sz w:val="20"/>
                <w:szCs w:val="20"/>
              </w:rPr>
              <w:t xml:space="preserve"> do </w:t>
            </w:r>
            <w:r w:rsidR="00E607B8">
              <w:rPr>
                <w:rFonts w:ascii="Times New Roman" w:hAnsi="Times New Roman" w:cs="Times New Roman"/>
                <w:sz w:val="20"/>
                <w:szCs w:val="20"/>
              </w:rPr>
              <w:t xml:space="preserve">dokumentacji </w:t>
            </w:r>
            <w:r w:rsidR="002A2000">
              <w:rPr>
                <w:rFonts w:ascii="Times New Roman" w:hAnsi="Times New Roman" w:cs="Times New Roman"/>
                <w:sz w:val="20"/>
                <w:szCs w:val="20"/>
              </w:rPr>
              <w:t>przekazywanej do Zespołu Koordynacyjnego</w:t>
            </w:r>
            <w:r w:rsidR="007307ED" w:rsidRPr="0051233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467DB8" w:rsidRPr="0051233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51F97" w:rsidRDefault="00451F97" w:rsidP="00E97D29">
            <w:pPr>
              <w:pStyle w:val="Akapitzlist"/>
              <w:numPr>
                <w:ilvl w:val="0"/>
                <w:numId w:val="8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CRP</w:t>
            </w:r>
            <w:r w:rsidR="00467DB8" w:rsidRPr="005123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735E1" w:rsidRPr="00F735E1" w:rsidRDefault="00F735E1" w:rsidP="00F735E1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6356" w:rsidRDefault="00451F97" w:rsidP="00E97D29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 leczenia</w:t>
            </w:r>
            <w:r w:rsidR="00F735E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:rsidR="00F735E1" w:rsidRPr="003A5114" w:rsidRDefault="00F735E1" w:rsidP="00E97D29">
            <w:pPr>
              <w:pStyle w:val="Akapitzlist"/>
              <w:numPr>
                <w:ilvl w:val="0"/>
                <w:numId w:val="29"/>
              </w:numPr>
              <w:tabs>
                <w:tab w:val="left" w:pos="400"/>
              </w:tabs>
              <w:suppressAutoHyphens w:val="0"/>
              <w:autoSpaceDE w:val="0"/>
              <w:autoSpaceDN w:val="0"/>
              <w:adjustRightInd w:val="0"/>
              <w:spacing w:after="0"/>
              <w:ind w:left="357" w:hanging="357"/>
              <w:contextualSpacing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3A5114">
              <w:rPr>
                <w:rFonts w:ascii="Times New Roman" w:hAnsi="Times New Roman" w:cs="Times New Roman"/>
                <w:bCs/>
                <w:sz w:val="20"/>
                <w:szCs w:val="20"/>
              </w:rPr>
              <w:t>Moni</w:t>
            </w:r>
            <w:r w:rsidR="003A5114" w:rsidRPr="003A5114">
              <w:rPr>
                <w:rFonts w:ascii="Times New Roman" w:hAnsi="Times New Roman" w:cs="Times New Roman"/>
                <w:bCs/>
                <w:sz w:val="20"/>
                <w:szCs w:val="20"/>
              </w:rPr>
              <w:t>torowanie terapii infliksymabem</w:t>
            </w:r>
            <w:r w:rsidR="003A511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p</w:t>
            </w:r>
            <w:r w:rsidRPr="003A5114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>o 6 tygodniach (+/-7dni) oraz po 14 tygodniach (+/-7dni) od pierwszego podania infliksymabu, a następnie co 16 tygodni (+/-7dni) należy wykonać:</w:t>
            </w:r>
          </w:p>
          <w:p w:rsidR="00F735E1" w:rsidRPr="00F735E1" w:rsidRDefault="00F735E1" w:rsidP="00E97D29">
            <w:pPr>
              <w:numPr>
                <w:ilvl w:val="0"/>
                <w:numId w:val="30"/>
              </w:numPr>
              <w:tabs>
                <w:tab w:val="left" w:pos="258"/>
              </w:tabs>
              <w:suppressAutoHyphens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F735E1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>morfologię krwi z rozmazem,</w:t>
            </w:r>
          </w:p>
          <w:p w:rsidR="00F735E1" w:rsidRPr="00F735E1" w:rsidRDefault="00F735E1" w:rsidP="00E97D29">
            <w:pPr>
              <w:numPr>
                <w:ilvl w:val="0"/>
                <w:numId w:val="30"/>
              </w:numPr>
              <w:tabs>
                <w:tab w:val="left" w:pos="258"/>
              </w:tabs>
              <w:suppressAutoHyphens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F735E1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>odczyn Biernackiego OB,</w:t>
            </w:r>
          </w:p>
          <w:p w:rsidR="00F735E1" w:rsidRPr="00F735E1" w:rsidRDefault="00F735E1" w:rsidP="00E97D29">
            <w:pPr>
              <w:numPr>
                <w:ilvl w:val="0"/>
                <w:numId w:val="30"/>
              </w:numPr>
              <w:tabs>
                <w:tab w:val="left" w:pos="258"/>
              </w:tabs>
              <w:suppressAutoHyphens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F735E1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>CRP,</w:t>
            </w:r>
          </w:p>
          <w:p w:rsidR="00F735E1" w:rsidRPr="00F735E1" w:rsidRDefault="00F735E1" w:rsidP="00E97D29">
            <w:pPr>
              <w:numPr>
                <w:ilvl w:val="0"/>
                <w:numId w:val="30"/>
              </w:numPr>
              <w:tabs>
                <w:tab w:val="left" w:pos="258"/>
              </w:tabs>
              <w:suppressAutoHyphens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F735E1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>aminotransferazę alaninową AlAT,</w:t>
            </w:r>
          </w:p>
          <w:p w:rsidR="00F735E1" w:rsidRPr="00F735E1" w:rsidRDefault="00F735E1" w:rsidP="00E97D29">
            <w:pPr>
              <w:numPr>
                <w:ilvl w:val="0"/>
                <w:numId w:val="30"/>
              </w:numPr>
              <w:tabs>
                <w:tab w:val="left" w:pos="258"/>
              </w:tabs>
              <w:suppressAutoHyphens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F735E1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>aminotransferazę asparaginową AspAT,</w:t>
            </w:r>
          </w:p>
          <w:p w:rsidR="00F735E1" w:rsidRPr="00F735E1" w:rsidRDefault="00F735E1" w:rsidP="00E97D29">
            <w:pPr>
              <w:numPr>
                <w:ilvl w:val="0"/>
                <w:numId w:val="30"/>
              </w:numPr>
              <w:tabs>
                <w:tab w:val="left" w:pos="258"/>
              </w:tabs>
              <w:suppressAutoHyphens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F735E1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>stężenie kreatyniny i mocznika w surowicy,</w:t>
            </w:r>
          </w:p>
          <w:p w:rsidR="00F735E1" w:rsidRPr="00F735E1" w:rsidRDefault="00F735E1" w:rsidP="00E97D29">
            <w:pPr>
              <w:numPr>
                <w:ilvl w:val="0"/>
                <w:numId w:val="30"/>
              </w:numPr>
              <w:tabs>
                <w:tab w:val="left" w:pos="258"/>
              </w:tabs>
              <w:suppressAutoHyphens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F735E1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>poziom bilirubiny,</w:t>
            </w:r>
          </w:p>
          <w:p w:rsidR="00F735E1" w:rsidRPr="00F735E1" w:rsidRDefault="00F735E1" w:rsidP="00E97D29">
            <w:pPr>
              <w:numPr>
                <w:ilvl w:val="0"/>
                <w:numId w:val="30"/>
              </w:numPr>
              <w:tabs>
                <w:tab w:val="left" w:pos="258"/>
              </w:tabs>
              <w:suppressAutoHyphens w:val="0"/>
              <w:autoSpaceDE w:val="0"/>
              <w:autoSpaceDN w:val="0"/>
              <w:adjustRightInd w:val="0"/>
              <w:contextualSpacing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F735E1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>ocenę nasilenia zmian łuszczycowych w skali PASI, DLQI i BSA. Ponadto, w 14</w:t>
            </w:r>
            <w:r w:rsidR="003A5114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>, 46, 94</w:t>
            </w:r>
            <w:r w:rsidRPr="00F735E1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 xml:space="preserve"> tygodniu od podania pierwszej dawki infliksymabu, do dokumentacji dołączyć zdjęcia-pliki *.jpg, tak jak przy kwalifikacji do programu. Leczenie może być kontynuowane u pacjentów, u których uzyskano w 14 tygodniu terapii adekwatną odpowiedź na leczenie. Ostateczną decyzję o kontynuacji leczeni</w:t>
            </w:r>
            <w:r w:rsidR="003A5114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>a</w:t>
            </w:r>
            <w:r w:rsidRPr="00F735E1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 xml:space="preserve"> podejmuje lekarz prowadzący po uzyskaniu akceptacji Zespołu Koordynacyjnego do Spraw Leczenia Biologicznego w Łuszczycy Plackowatej;</w:t>
            </w:r>
          </w:p>
          <w:p w:rsidR="00F735E1" w:rsidRPr="00F735E1" w:rsidRDefault="00F735E1" w:rsidP="00E97D29">
            <w:pPr>
              <w:numPr>
                <w:ilvl w:val="0"/>
                <w:numId w:val="30"/>
              </w:numPr>
              <w:tabs>
                <w:tab w:val="left" w:pos="258"/>
              </w:tabs>
              <w:suppressAutoHyphens w:val="0"/>
              <w:autoSpaceDE w:val="0"/>
              <w:autoSpaceDN w:val="0"/>
              <w:adjustRightInd w:val="0"/>
              <w:spacing w:after="0"/>
              <w:ind w:left="714" w:hanging="357"/>
              <w:contextualSpacing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F735E1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>wywiad lekarski dotyczący efektów leczenia i możliwych działań niepożądanych;</w:t>
            </w:r>
          </w:p>
          <w:p w:rsidR="00451F97" w:rsidRPr="003A5114" w:rsidRDefault="002A2000" w:rsidP="003A5114">
            <w:pPr>
              <w:pStyle w:val="Akapitzlist"/>
              <w:numPr>
                <w:ilvl w:val="0"/>
                <w:numId w:val="29"/>
              </w:numPr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114">
              <w:rPr>
                <w:rFonts w:ascii="Times New Roman" w:hAnsi="Times New Roman" w:cs="Times New Roman"/>
                <w:sz w:val="20"/>
                <w:szCs w:val="20"/>
              </w:rPr>
              <w:t>Monitorowanie</w:t>
            </w:r>
            <w:r w:rsidR="00790191" w:rsidRPr="003A5114">
              <w:rPr>
                <w:rFonts w:ascii="Times New Roman" w:hAnsi="Times New Roman" w:cs="Times New Roman"/>
                <w:sz w:val="20"/>
                <w:szCs w:val="20"/>
              </w:rPr>
              <w:t xml:space="preserve"> terapii ustekinumabem albo adalimumabem</w:t>
            </w:r>
            <w:r w:rsidR="003A5114" w:rsidRPr="003A5114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3A51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46EC" w:rsidRPr="003A5114">
              <w:rPr>
                <w:rFonts w:ascii="Times New Roman" w:hAnsi="Times New Roman" w:cs="Times New Roman"/>
                <w:sz w:val="20"/>
                <w:szCs w:val="20"/>
              </w:rPr>
              <w:t>po 4 tygodniach (+/-7dni) od pierwszego podania leku, a następnie co 12 tygodni (+/-7dni)</w:t>
            </w:r>
            <w:r w:rsidR="00050ACD" w:rsidRPr="003A51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246EC" w:rsidRPr="003A5114">
              <w:rPr>
                <w:rFonts w:ascii="Times New Roman" w:hAnsi="Times New Roman" w:cs="Times New Roman"/>
                <w:sz w:val="20"/>
                <w:szCs w:val="20"/>
              </w:rPr>
              <w:t xml:space="preserve"> należy </w:t>
            </w:r>
            <w:r w:rsidR="00451F97" w:rsidRPr="003A5114">
              <w:rPr>
                <w:rFonts w:ascii="Times New Roman" w:hAnsi="Times New Roman" w:cs="Times New Roman"/>
                <w:sz w:val="20"/>
                <w:szCs w:val="20"/>
              </w:rPr>
              <w:t>wykon</w:t>
            </w:r>
            <w:r w:rsidR="00C246EC" w:rsidRPr="003A5114">
              <w:rPr>
                <w:rFonts w:ascii="Times New Roman" w:hAnsi="Times New Roman" w:cs="Times New Roman"/>
                <w:sz w:val="20"/>
                <w:szCs w:val="20"/>
              </w:rPr>
              <w:t>ać</w:t>
            </w:r>
            <w:r w:rsidR="00451F97" w:rsidRPr="003A511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C246EC" w:rsidRPr="003E7ACE" w:rsidRDefault="00D21EAB" w:rsidP="00E97D29">
            <w:pPr>
              <w:pStyle w:val="Akapitzlist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>morfologię krwi z rozmazem,</w:t>
            </w:r>
          </w:p>
          <w:p w:rsidR="00C246EC" w:rsidRPr="003E7ACE" w:rsidRDefault="00D21EAB" w:rsidP="00E97D29">
            <w:pPr>
              <w:pStyle w:val="Akapitzlist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>odczyn Biernackiego OB,</w:t>
            </w:r>
          </w:p>
          <w:p w:rsidR="00C246EC" w:rsidRPr="003E7ACE" w:rsidRDefault="00D21EAB" w:rsidP="00E97D29">
            <w:pPr>
              <w:pStyle w:val="Akapitzlist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>CRP,</w:t>
            </w:r>
          </w:p>
          <w:p w:rsidR="00C246EC" w:rsidRPr="003E7ACE" w:rsidRDefault="00D21EAB" w:rsidP="00E97D29">
            <w:pPr>
              <w:pStyle w:val="Akapitzlist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>aminotransferazę alaninową AlAT,</w:t>
            </w:r>
          </w:p>
          <w:p w:rsidR="00C246EC" w:rsidRPr="003E7ACE" w:rsidRDefault="00C246EC" w:rsidP="00E97D29">
            <w:pPr>
              <w:pStyle w:val="Akapitzlist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>amin</w:t>
            </w:r>
            <w:r w:rsidR="00D21EAB" w:rsidRPr="003E7ACE">
              <w:rPr>
                <w:rFonts w:ascii="Times New Roman" w:hAnsi="Times New Roman" w:cs="Times New Roman"/>
                <w:sz w:val="20"/>
                <w:szCs w:val="20"/>
              </w:rPr>
              <w:t>otransferazę asparaginową AspAT,</w:t>
            </w:r>
          </w:p>
          <w:p w:rsidR="00723A27" w:rsidRPr="003E7ACE" w:rsidRDefault="00C246EC" w:rsidP="00E97D29">
            <w:pPr>
              <w:pStyle w:val="Akapitzlist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stężenie kreatyniny w surowicy</w:t>
            </w:r>
            <w:r w:rsidR="00D21EAB" w:rsidRPr="003E7AC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246EC" w:rsidRPr="003E7ACE" w:rsidRDefault="00D21EAB" w:rsidP="00E97D29">
            <w:pPr>
              <w:pStyle w:val="Akapitzlist"/>
              <w:numPr>
                <w:ilvl w:val="0"/>
                <w:numId w:val="13"/>
              </w:numPr>
              <w:suppressAutoHyphens w:val="0"/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451F97" w:rsidRPr="003E7ACE">
              <w:rPr>
                <w:rFonts w:ascii="Times New Roman" w:hAnsi="Times New Roman" w:cs="Times New Roman"/>
                <w:sz w:val="20"/>
                <w:szCs w:val="20"/>
              </w:rPr>
              <w:t>cenę nasilenia zmian łuszczycowych</w:t>
            </w:r>
            <w:r w:rsidR="00050ACD">
              <w:rPr>
                <w:rFonts w:ascii="Times New Roman" w:hAnsi="Times New Roman" w:cs="Times New Roman"/>
                <w:sz w:val="20"/>
                <w:szCs w:val="20"/>
              </w:rPr>
              <w:t xml:space="preserve"> w skali</w:t>
            </w:r>
            <w:r w:rsidR="00451F97" w:rsidRPr="003E7ACE">
              <w:rPr>
                <w:rFonts w:ascii="Times New Roman" w:hAnsi="Times New Roman" w:cs="Times New Roman"/>
                <w:sz w:val="20"/>
                <w:szCs w:val="20"/>
              </w:rPr>
              <w:t xml:space="preserve"> PASI</w:t>
            </w:r>
            <w:r w:rsidR="00050AC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50ACD" w:rsidRPr="00050ACD">
              <w:rPr>
                <w:rFonts w:ascii="Times New Roman" w:hAnsi="Times New Roman" w:cs="Times New Roman"/>
                <w:sz w:val="20"/>
                <w:szCs w:val="20"/>
              </w:rPr>
              <w:t>DLQI i BSA</w:t>
            </w:r>
            <w:r w:rsidR="00451F97" w:rsidRPr="003E7AC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607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50AC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246EC" w:rsidRPr="003E7ACE">
              <w:rPr>
                <w:rFonts w:ascii="Times New Roman" w:hAnsi="Times New Roman" w:cs="Times New Roman"/>
                <w:sz w:val="20"/>
                <w:szCs w:val="20"/>
              </w:rPr>
              <w:t xml:space="preserve">onadto, </w:t>
            </w:r>
            <w:r w:rsidR="00451F97" w:rsidRPr="003E7ACE">
              <w:rPr>
                <w:rFonts w:ascii="Times New Roman" w:hAnsi="Times New Roman" w:cs="Times New Roman"/>
                <w:sz w:val="20"/>
                <w:szCs w:val="20"/>
              </w:rPr>
              <w:t>w 28 tygodniu od podania pierwszej dawki ustekinumabu</w:t>
            </w:r>
            <w:r w:rsidR="0013694B" w:rsidRPr="003E7ACE">
              <w:rPr>
                <w:rFonts w:ascii="Times New Roman" w:hAnsi="Times New Roman" w:cs="Times New Roman"/>
                <w:sz w:val="20"/>
                <w:szCs w:val="20"/>
              </w:rPr>
              <w:t xml:space="preserve"> albo </w:t>
            </w:r>
            <w:r w:rsidR="00F435DF" w:rsidRPr="003E7ACE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="0013694B" w:rsidRPr="003E7AC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F435DF" w:rsidRPr="003E7ACE">
              <w:rPr>
                <w:rFonts w:ascii="Times New Roman" w:hAnsi="Times New Roman" w:cs="Times New Roman"/>
                <w:sz w:val="20"/>
                <w:szCs w:val="20"/>
              </w:rPr>
              <w:t xml:space="preserve"> i 28</w:t>
            </w:r>
            <w:r w:rsidR="0013694B" w:rsidRPr="003E7ACE">
              <w:rPr>
                <w:rFonts w:ascii="Times New Roman" w:hAnsi="Times New Roman" w:cs="Times New Roman"/>
                <w:sz w:val="20"/>
                <w:szCs w:val="20"/>
              </w:rPr>
              <w:t xml:space="preserve"> tygodniu od podania pierwszej dawki adalimumabu, </w:t>
            </w:r>
            <w:r w:rsidR="00451F97" w:rsidRPr="003E7ACE">
              <w:rPr>
                <w:rFonts w:ascii="Times New Roman" w:hAnsi="Times New Roman" w:cs="Times New Roman"/>
                <w:sz w:val="20"/>
                <w:szCs w:val="20"/>
              </w:rPr>
              <w:t>a następnie w 40 tygodniu</w:t>
            </w:r>
            <w:r w:rsidR="005611F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51F97" w:rsidRPr="003E7A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 dokumentacji dołącz</w:t>
            </w:r>
            <w:r w:rsidR="00C246EC" w:rsidRPr="003E7ACE">
              <w:rPr>
                <w:rFonts w:ascii="Times New Roman" w:hAnsi="Times New Roman" w:cs="Times New Roman"/>
                <w:bCs/>
                <w:sz w:val="20"/>
                <w:szCs w:val="20"/>
              </w:rPr>
              <w:t>yć</w:t>
            </w:r>
            <w:r w:rsidR="00E607B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zdjęcia- pliki</w:t>
            </w:r>
            <w:r w:rsidR="007A5ED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607B8"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  <w:r w:rsidR="00437D43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E607B8">
              <w:rPr>
                <w:rFonts w:ascii="Times New Roman" w:hAnsi="Times New Roman" w:cs="Times New Roman"/>
                <w:bCs/>
                <w:sz w:val="20"/>
                <w:szCs w:val="20"/>
              </w:rPr>
              <w:t>j</w:t>
            </w:r>
            <w:r w:rsidR="00451F97" w:rsidRPr="003E7ACE"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="00E607B8">
              <w:rPr>
                <w:rFonts w:ascii="Times New Roman" w:hAnsi="Times New Roman" w:cs="Times New Roman"/>
                <w:bCs/>
                <w:sz w:val="20"/>
                <w:szCs w:val="20"/>
              </w:rPr>
              <w:t>g</w:t>
            </w:r>
            <w:r w:rsidR="007A5ED2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451F97" w:rsidRPr="003E7A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tak jak przy kwalifikacji do programu</w:t>
            </w:r>
            <w:r w:rsidR="00050AC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705B3B" w:rsidRPr="003E7A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E279E" w:rsidRPr="003E7A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Leczenie może być kontynuowane </w:t>
            </w:r>
            <w:r w:rsidR="0043104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u pacjentów, u których uzyskano </w:t>
            </w:r>
            <w:r w:rsidR="006E279E" w:rsidRPr="003E7ACE">
              <w:rPr>
                <w:rFonts w:ascii="Times New Roman" w:hAnsi="Times New Roman" w:cs="Times New Roman"/>
                <w:bCs/>
                <w:sz w:val="20"/>
                <w:szCs w:val="20"/>
              </w:rPr>
              <w:t>adekwatną odpowiedź na leczenie ustekinumabem w 28</w:t>
            </w:r>
            <w:r w:rsidR="005611F4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6E279E" w:rsidRPr="003E7A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611F4">
              <w:rPr>
                <w:rFonts w:ascii="Times New Roman" w:hAnsi="Times New Roman" w:cs="Times New Roman"/>
                <w:bCs/>
                <w:sz w:val="20"/>
                <w:szCs w:val="20"/>
              </w:rPr>
              <w:t>a następnie</w:t>
            </w:r>
            <w:r w:rsidR="005611F4" w:rsidRPr="003E7A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E279E" w:rsidRPr="003E7ACE">
              <w:rPr>
                <w:rFonts w:ascii="Times New Roman" w:hAnsi="Times New Roman" w:cs="Times New Roman"/>
                <w:bCs/>
                <w:sz w:val="20"/>
                <w:szCs w:val="20"/>
              </w:rPr>
              <w:t>40 tygodniu albo adalimumabem w 16</w:t>
            </w:r>
            <w:r w:rsidR="005611F4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6E279E" w:rsidRPr="003E7A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611F4">
              <w:rPr>
                <w:rFonts w:ascii="Times New Roman" w:hAnsi="Times New Roman" w:cs="Times New Roman"/>
                <w:bCs/>
                <w:sz w:val="20"/>
                <w:szCs w:val="20"/>
              </w:rPr>
              <w:t>a następnie</w:t>
            </w:r>
            <w:r w:rsidR="005611F4" w:rsidRPr="003E7A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E279E" w:rsidRPr="003E7ACE">
              <w:rPr>
                <w:rFonts w:ascii="Times New Roman" w:hAnsi="Times New Roman" w:cs="Times New Roman"/>
                <w:bCs/>
                <w:sz w:val="20"/>
                <w:szCs w:val="20"/>
              </w:rPr>
              <w:t>28 tygodniu</w:t>
            </w:r>
            <w:r w:rsidR="005D6155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705B3B" w:rsidRPr="003E7A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Ostateczną decyzję o kontynuacji leczenia podejmuje lekarz prowadzący po uzyskaniu akceptacji Zespołu Koordynacyjnego do Spraw Leczenia Biolog</w:t>
            </w:r>
            <w:r w:rsidRPr="003E7ACE">
              <w:rPr>
                <w:rFonts w:ascii="Times New Roman" w:hAnsi="Times New Roman" w:cs="Times New Roman"/>
                <w:bCs/>
                <w:sz w:val="20"/>
                <w:szCs w:val="20"/>
              </w:rPr>
              <w:t>icznego w Łuszczycy Plackowatej,</w:t>
            </w:r>
          </w:p>
          <w:p w:rsidR="00451F97" w:rsidRPr="003E7ACE" w:rsidRDefault="00C246EC" w:rsidP="00E97D29">
            <w:pPr>
              <w:pStyle w:val="Akapitzlist"/>
              <w:numPr>
                <w:ilvl w:val="0"/>
                <w:numId w:val="13"/>
              </w:numPr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>wywiad lekarski dotyczący efektów leczenia i możliwych działań niepożądanych</w:t>
            </w:r>
            <w:r w:rsidR="00D21EAB" w:rsidRPr="003E7AC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E279E" w:rsidRPr="003A5114" w:rsidRDefault="002A2000" w:rsidP="003A5114">
            <w:pPr>
              <w:pStyle w:val="Akapitzlist"/>
              <w:numPr>
                <w:ilvl w:val="0"/>
                <w:numId w:val="29"/>
              </w:numPr>
              <w:suppressAutoHyphens w:val="0"/>
              <w:spacing w:after="0"/>
              <w:ind w:left="357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114">
              <w:rPr>
                <w:rFonts w:ascii="Times New Roman" w:hAnsi="Times New Roman" w:cs="Times New Roman"/>
                <w:sz w:val="20"/>
                <w:szCs w:val="20"/>
              </w:rPr>
              <w:t>Monitorowanie</w:t>
            </w:r>
            <w:r w:rsidR="006E279E" w:rsidRPr="003A5114">
              <w:rPr>
                <w:rFonts w:ascii="Times New Roman" w:hAnsi="Times New Roman" w:cs="Times New Roman"/>
                <w:sz w:val="20"/>
                <w:szCs w:val="20"/>
              </w:rPr>
              <w:t xml:space="preserve"> terapii etanerceptem</w:t>
            </w:r>
            <w:r w:rsidR="003A5114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6E279E" w:rsidRPr="003A5114">
              <w:rPr>
                <w:rFonts w:ascii="Times New Roman" w:hAnsi="Times New Roman" w:cs="Times New Roman"/>
                <w:sz w:val="20"/>
                <w:szCs w:val="20"/>
              </w:rPr>
              <w:t>po 4 tygodniach (+/-7dni) oraz po 12 tygodniach</w:t>
            </w:r>
            <w:r w:rsidR="00FE0B34" w:rsidRPr="003A5114">
              <w:rPr>
                <w:rFonts w:ascii="Times New Roman" w:hAnsi="Times New Roman" w:cs="Times New Roman"/>
                <w:sz w:val="20"/>
                <w:szCs w:val="20"/>
              </w:rPr>
              <w:t xml:space="preserve"> (+/-7dni)</w:t>
            </w:r>
            <w:r w:rsidR="006E279E" w:rsidRPr="003A5114">
              <w:rPr>
                <w:rFonts w:ascii="Times New Roman" w:hAnsi="Times New Roman" w:cs="Times New Roman"/>
                <w:sz w:val="20"/>
                <w:szCs w:val="20"/>
              </w:rPr>
              <w:t xml:space="preserve"> od pierwszego podania </w:t>
            </w:r>
            <w:r w:rsidR="00074E7F" w:rsidRPr="003A5114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6E279E" w:rsidRPr="003A5114">
              <w:rPr>
                <w:rFonts w:ascii="Times New Roman" w:hAnsi="Times New Roman" w:cs="Times New Roman"/>
                <w:sz w:val="20"/>
                <w:szCs w:val="20"/>
              </w:rPr>
              <w:t xml:space="preserve">, a następnie co 12 tygodni </w:t>
            </w:r>
            <w:r w:rsidR="00FE0B34" w:rsidRPr="003A5114">
              <w:rPr>
                <w:rFonts w:ascii="Times New Roman" w:hAnsi="Times New Roman" w:cs="Times New Roman"/>
                <w:sz w:val="20"/>
                <w:szCs w:val="20"/>
              </w:rPr>
              <w:t xml:space="preserve">(+/-7dni) </w:t>
            </w:r>
            <w:r w:rsidR="006E279E" w:rsidRPr="003A5114">
              <w:rPr>
                <w:rFonts w:ascii="Times New Roman" w:hAnsi="Times New Roman" w:cs="Times New Roman"/>
                <w:sz w:val="20"/>
                <w:szCs w:val="20"/>
              </w:rPr>
              <w:t>należy wykonać:</w:t>
            </w:r>
          </w:p>
          <w:p w:rsidR="006E279E" w:rsidRPr="003E7ACE" w:rsidRDefault="00EE2933" w:rsidP="00E97D29">
            <w:pPr>
              <w:pStyle w:val="Akapitzlist"/>
              <w:numPr>
                <w:ilvl w:val="0"/>
                <w:numId w:val="15"/>
              </w:numPr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>morfologię krwi z rozmazem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E279E" w:rsidRPr="003E7ACE" w:rsidRDefault="00EE2933" w:rsidP="00E97D29">
            <w:pPr>
              <w:pStyle w:val="Akapitzlist"/>
              <w:numPr>
                <w:ilvl w:val="0"/>
                <w:numId w:val="15"/>
              </w:numPr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 xml:space="preserve">odczyn Biernackiego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OB,</w:t>
            </w:r>
          </w:p>
          <w:p w:rsidR="006E279E" w:rsidRPr="003E7ACE" w:rsidRDefault="00EE2933" w:rsidP="00E97D29">
            <w:pPr>
              <w:pStyle w:val="Akapitzlist"/>
              <w:numPr>
                <w:ilvl w:val="0"/>
                <w:numId w:val="15"/>
              </w:numPr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>CRP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E279E" w:rsidRPr="003E7ACE" w:rsidRDefault="00EE2933" w:rsidP="00E97D29">
            <w:pPr>
              <w:pStyle w:val="Akapitzlist"/>
              <w:numPr>
                <w:ilvl w:val="0"/>
                <w:numId w:val="15"/>
              </w:numPr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>aminotransferazę alaninową AlAT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E279E" w:rsidRPr="003E7ACE" w:rsidRDefault="006E279E" w:rsidP="00E97D29">
            <w:pPr>
              <w:pStyle w:val="Akapitzlist"/>
              <w:numPr>
                <w:ilvl w:val="0"/>
                <w:numId w:val="15"/>
              </w:numPr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>amin</w:t>
            </w:r>
            <w:r w:rsidR="00EE2933" w:rsidRPr="003E7ACE">
              <w:rPr>
                <w:rFonts w:ascii="Times New Roman" w:hAnsi="Times New Roman" w:cs="Times New Roman"/>
                <w:sz w:val="20"/>
                <w:szCs w:val="20"/>
              </w:rPr>
              <w:t>otransferazę asparaginową AspAT</w:t>
            </w:r>
            <w:r w:rsidR="00EE293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E279E" w:rsidRDefault="006E279E" w:rsidP="00E97D29">
            <w:pPr>
              <w:pStyle w:val="Akapitzlist"/>
              <w:numPr>
                <w:ilvl w:val="0"/>
                <w:numId w:val="15"/>
              </w:numPr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 xml:space="preserve">stężenie kreatyniny </w:t>
            </w:r>
            <w:r w:rsidR="00D21EAB" w:rsidRPr="003E7ACE">
              <w:rPr>
                <w:rFonts w:ascii="Times New Roman" w:hAnsi="Times New Roman" w:cs="Times New Roman"/>
                <w:sz w:val="20"/>
                <w:szCs w:val="20"/>
              </w:rPr>
              <w:t xml:space="preserve">i mocznika </w:t>
            </w: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>w surowicy</w:t>
            </w:r>
            <w:r w:rsidR="00EE293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9E685A" w:rsidRPr="003E7ACE" w:rsidRDefault="009E685A" w:rsidP="00E97D29">
            <w:pPr>
              <w:pStyle w:val="Akapitzlist"/>
              <w:numPr>
                <w:ilvl w:val="0"/>
                <w:numId w:val="15"/>
              </w:numPr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poziom bilirubiny</w:t>
            </w:r>
            <w:r w:rsidR="00DF408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E279E" w:rsidRPr="003E7ACE" w:rsidRDefault="00D21EAB" w:rsidP="00E97D29">
            <w:pPr>
              <w:pStyle w:val="Akapitzlist"/>
              <w:numPr>
                <w:ilvl w:val="0"/>
                <w:numId w:val="15"/>
              </w:numPr>
              <w:suppressAutoHyphens w:val="0"/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6E279E" w:rsidRPr="003E7ACE">
              <w:rPr>
                <w:rFonts w:ascii="Times New Roman" w:hAnsi="Times New Roman" w:cs="Times New Roman"/>
                <w:sz w:val="20"/>
                <w:szCs w:val="20"/>
              </w:rPr>
              <w:t xml:space="preserve">cenę </w:t>
            </w:r>
            <w:r w:rsidRPr="003E7ACE">
              <w:rPr>
                <w:rFonts w:ascii="Times New Roman" w:hAnsi="Times New Roman" w:cs="Times New Roman"/>
                <w:sz w:val="20"/>
                <w:szCs w:val="20"/>
              </w:rPr>
              <w:t>nasilenia zmian łuszczycowych</w:t>
            </w:r>
            <w:r w:rsidR="006E279E" w:rsidRPr="003E7A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351C">
              <w:rPr>
                <w:rFonts w:ascii="Times New Roman" w:hAnsi="Times New Roman" w:cs="Times New Roman"/>
                <w:sz w:val="20"/>
                <w:szCs w:val="20"/>
              </w:rPr>
              <w:t xml:space="preserve">w skali </w:t>
            </w:r>
            <w:r w:rsidR="006E279E" w:rsidRPr="003E7ACE">
              <w:rPr>
                <w:rFonts w:ascii="Times New Roman" w:hAnsi="Times New Roman" w:cs="Times New Roman"/>
                <w:sz w:val="20"/>
                <w:szCs w:val="20"/>
              </w:rPr>
              <w:t>PASI</w:t>
            </w:r>
            <w:r w:rsidR="008C351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8C351C" w:rsidRPr="008C351C">
              <w:rPr>
                <w:rFonts w:ascii="Times New Roman" w:hAnsi="Times New Roman" w:cs="Times New Roman"/>
                <w:sz w:val="20"/>
                <w:szCs w:val="20"/>
              </w:rPr>
              <w:t>DLQI (</w:t>
            </w:r>
            <w:r w:rsidR="00E607B8">
              <w:rPr>
                <w:rFonts w:ascii="Times New Roman" w:hAnsi="Times New Roman" w:cs="Times New Roman"/>
                <w:sz w:val="20"/>
                <w:szCs w:val="20"/>
              </w:rPr>
              <w:t>ew.</w:t>
            </w:r>
            <w:r w:rsidR="008C35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351C" w:rsidRPr="008C351C">
              <w:rPr>
                <w:rFonts w:ascii="Times New Roman" w:hAnsi="Times New Roman" w:cs="Times New Roman"/>
                <w:sz w:val="20"/>
                <w:szCs w:val="20"/>
              </w:rPr>
              <w:t>CDLQI) i BSA</w:t>
            </w:r>
            <w:r w:rsidR="006E279E" w:rsidRPr="003E7AC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8C351C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6E279E" w:rsidRPr="003E7ACE">
              <w:rPr>
                <w:rFonts w:ascii="Times New Roman" w:hAnsi="Times New Roman" w:cs="Times New Roman"/>
                <w:sz w:val="20"/>
                <w:szCs w:val="20"/>
              </w:rPr>
              <w:t>onadto, w 12 i 24 tygodniu od podania pierwszej dawki etanerceptu</w:t>
            </w:r>
            <w:r w:rsidR="009E685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E279E" w:rsidRPr="003E7ACE">
              <w:rPr>
                <w:rFonts w:ascii="Times New Roman" w:hAnsi="Times New Roman" w:cs="Times New Roman"/>
                <w:sz w:val="20"/>
                <w:szCs w:val="20"/>
              </w:rPr>
              <w:t xml:space="preserve"> do dokumentacji dołączyć </w:t>
            </w:r>
            <w:r w:rsidR="009E685A" w:rsidRPr="003E7ACE">
              <w:rPr>
                <w:rFonts w:ascii="Times New Roman" w:hAnsi="Times New Roman" w:cs="Times New Roman"/>
                <w:sz w:val="20"/>
                <w:szCs w:val="20"/>
              </w:rPr>
              <w:t>zdjęcia-pliki</w:t>
            </w:r>
            <w:r w:rsidR="009E68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685A" w:rsidRPr="003E7AC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="009E685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E685A" w:rsidRPr="003E7ACE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="006E279E" w:rsidRPr="003E7AC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9E685A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6E279E" w:rsidRPr="003E7ACE">
              <w:rPr>
                <w:rFonts w:ascii="Times New Roman" w:hAnsi="Times New Roman" w:cs="Times New Roman"/>
                <w:sz w:val="20"/>
                <w:szCs w:val="20"/>
              </w:rPr>
              <w:t>, tak jak przy kwalifikacji do programu</w:t>
            </w:r>
            <w:r w:rsidR="008C35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A2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279E" w:rsidRPr="003E7ACE">
              <w:rPr>
                <w:rFonts w:ascii="Times New Roman" w:hAnsi="Times New Roman" w:cs="Times New Roman"/>
                <w:bCs/>
                <w:sz w:val="20"/>
                <w:szCs w:val="20"/>
              </w:rPr>
              <w:t>Leczenie może być kontynuowane u pacjentów, u których uzyskano w 12 tygodniu terapii adekwatną odpowiedź na leczenie</w:t>
            </w:r>
            <w:r w:rsidR="00705B3B" w:rsidRPr="003E7ACE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705B3B" w:rsidRPr="003E7A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05B3B" w:rsidRPr="003E7A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Ostateczną decyzję o kontynuacji leczenia podejmuje </w:t>
            </w:r>
            <w:r w:rsidR="00705B3B" w:rsidRPr="003E7AC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lekarz prowadzący po uzyskaniu akceptacji Zespołu Koordynacyjnego do Spraw Leczenia Biolog</w:t>
            </w:r>
            <w:r w:rsidRPr="003E7A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icznego w </w:t>
            </w:r>
            <w:r w:rsidR="007A5ED2">
              <w:rPr>
                <w:rFonts w:ascii="Times New Roman" w:hAnsi="Times New Roman" w:cs="Times New Roman"/>
                <w:bCs/>
                <w:sz w:val="20"/>
                <w:szCs w:val="20"/>
              </w:rPr>
              <w:t>Łuszczycy Plackowatej;</w:t>
            </w:r>
          </w:p>
          <w:p w:rsidR="00D21EAB" w:rsidRPr="003E7ACE" w:rsidRDefault="00D21EAB" w:rsidP="00E97D29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7ACE">
              <w:rPr>
                <w:rFonts w:ascii="Times New Roman" w:hAnsi="Times New Roman" w:cs="Times New Roman"/>
                <w:bCs/>
                <w:sz w:val="20"/>
                <w:szCs w:val="20"/>
              </w:rPr>
              <w:t>wywiad lekarski dotyczący efektów leczenia i możliwych działań niepożądanych;</w:t>
            </w:r>
          </w:p>
          <w:p w:rsidR="00705B3B" w:rsidRPr="00F735E1" w:rsidRDefault="00705B3B" w:rsidP="003A5114">
            <w:pPr>
              <w:pStyle w:val="Akapitzlist"/>
              <w:numPr>
                <w:ilvl w:val="0"/>
                <w:numId w:val="29"/>
              </w:numPr>
              <w:suppressAutoHyphens w:val="0"/>
              <w:spacing w:after="0"/>
              <w:ind w:left="357" w:hanging="3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735E1">
              <w:rPr>
                <w:rFonts w:ascii="Times New Roman" w:hAnsi="Times New Roman" w:cs="Times New Roman"/>
                <w:bCs/>
                <w:sz w:val="20"/>
                <w:szCs w:val="20"/>
              </w:rPr>
              <w:t>co najmniej raz na 365 dni n</w:t>
            </w:r>
            <w:r w:rsidR="009E685A" w:rsidRPr="00F735E1">
              <w:rPr>
                <w:rFonts w:ascii="Times New Roman" w:hAnsi="Times New Roman" w:cs="Times New Roman"/>
                <w:bCs/>
                <w:sz w:val="20"/>
                <w:szCs w:val="20"/>
              </w:rPr>
              <w:t>ależy wykonać EKG</w:t>
            </w:r>
            <w:r w:rsidR="002A2000" w:rsidRPr="00F735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E685A" w:rsidRPr="00F735E1">
              <w:rPr>
                <w:rFonts w:ascii="Times New Roman" w:hAnsi="Times New Roman" w:cs="Times New Roman"/>
                <w:bCs/>
                <w:sz w:val="20"/>
                <w:szCs w:val="20"/>
              </w:rPr>
              <w:t>oraz</w:t>
            </w:r>
            <w:r w:rsidRPr="00F735E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RTG klatki piersiowej lub </w:t>
            </w:r>
            <w:r w:rsidR="00EE2933" w:rsidRPr="00F735E1">
              <w:rPr>
                <w:rFonts w:ascii="Times New Roman" w:hAnsi="Times New Roman" w:cs="Times New Roman"/>
                <w:bCs/>
                <w:sz w:val="20"/>
                <w:szCs w:val="20"/>
              </w:rPr>
              <w:t>test Quantiferon</w:t>
            </w:r>
            <w:r w:rsidRPr="00F735E1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705B3B" w:rsidRPr="00F735E1" w:rsidRDefault="00705B3B" w:rsidP="003A5114">
            <w:pPr>
              <w:pStyle w:val="Akapitzlist"/>
              <w:numPr>
                <w:ilvl w:val="0"/>
                <w:numId w:val="29"/>
              </w:numPr>
              <w:suppressAutoHyphens w:val="0"/>
              <w:spacing w:after="0"/>
              <w:ind w:left="357" w:hanging="357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735E1">
              <w:rPr>
                <w:rFonts w:ascii="Times New Roman" w:hAnsi="Times New Roman" w:cs="Times New Roman"/>
                <w:bCs/>
                <w:sz w:val="20"/>
                <w:szCs w:val="20"/>
              </w:rPr>
              <w:t>w przypadku pacjentów z pozytywnym wynikiem badania na obecność przeciwciał anty-HCV należy co 12 tygodni wykonać oznaczenie PCR HCV metodą ilościową.</w:t>
            </w:r>
          </w:p>
          <w:p w:rsidR="00451F97" w:rsidRPr="0051233B" w:rsidRDefault="00451F97" w:rsidP="0051233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2757" w:rsidRPr="0051233B" w:rsidRDefault="004D2757" w:rsidP="00E97D29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 programu</w:t>
            </w:r>
            <w:r w:rsidR="002A20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:rsidR="004D2757" w:rsidRPr="0051233B" w:rsidRDefault="004D2757" w:rsidP="00E97D29">
            <w:pPr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gromadzenie w dokumentacji medycznej pacjenta danych dotyczących monitorowania leczenia i każdorazowe ich przedstawianie na żądanie kontrolerów  Narodowego Funduszu Zdrowia;</w:t>
            </w:r>
          </w:p>
          <w:p w:rsidR="004D2757" w:rsidRPr="0051233B" w:rsidRDefault="004D2757" w:rsidP="00E97D29">
            <w:pPr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uzupełnienie danych zawartych w rejestrze (SMPT) dostępnym za pomocą aplikacji internetowej udostępnionej przez OW NFZ, z częstotliwością zgodną z opisem programu oraz na zakończenie leczenia;</w:t>
            </w:r>
          </w:p>
          <w:p w:rsidR="004D2757" w:rsidRPr="0051233B" w:rsidRDefault="004D2757" w:rsidP="00E97D29">
            <w:pPr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233B">
              <w:rPr>
                <w:rFonts w:ascii="Times New Roman" w:hAnsi="Times New Roman" w:cs="Times New Roman"/>
                <w:sz w:val="20"/>
                <w:szCs w:val="20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  <w:p w:rsidR="00BB3051" w:rsidRDefault="00BB3051" w:rsidP="0051233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3051" w:rsidRPr="00BB3051" w:rsidRDefault="00BB3051" w:rsidP="00BB30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2757" w:rsidRPr="00BB3051" w:rsidRDefault="004D2757" w:rsidP="00BB30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51F97" w:rsidRPr="0051233B" w:rsidRDefault="00451F97" w:rsidP="003E7ACE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451F97" w:rsidRPr="0051233B" w:rsidSect="00E03027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28F" w:rsidRDefault="0040428F" w:rsidP="00C246EC">
      <w:pPr>
        <w:spacing w:after="0" w:line="240" w:lineRule="auto"/>
      </w:pPr>
      <w:r>
        <w:separator/>
      </w:r>
    </w:p>
  </w:endnote>
  <w:endnote w:type="continuationSeparator" w:id="0">
    <w:p w:rsidR="0040428F" w:rsidRDefault="0040428F" w:rsidP="00C24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28F" w:rsidRDefault="0040428F" w:rsidP="00C246EC">
      <w:pPr>
        <w:spacing w:after="0" w:line="240" w:lineRule="auto"/>
      </w:pPr>
      <w:r>
        <w:separator/>
      </w:r>
    </w:p>
  </w:footnote>
  <w:footnote w:type="continuationSeparator" w:id="0">
    <w:p w:rsidR="0040428F" w:rsidRDefault="0040428F" w:rsidP="00C246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6680E20"/>
    <w:lvl w:ilvl="0">
      <w:start w:val="1"/>
      <w:numFmt w:val="upperLetter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B84B48"/>
    <w:multiLevelType w:val="hybridMultilevel"/>
    <w:tmpl w:val="7DF832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654D5"/>
    <w:multiLevelType w:val="hybridMultilevel"/>
    <w:tmpl w:val="50041C5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4205F4"/>
    <w:multiLevelType w:val="hybridMultilevel"/>
    <w:tmpl w:val="6D26E080"/>
    <w:lvl w:ilvl="0" w:tplc="4EAED7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0757C"/>
    <w:multiLevelType w:val="hybridMultilevel"/>
    <w:tmpl w:val="0BAC09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64653"/>
    <w:multiLevelType w:val="hybridMultilevel"/>
    <w:tmpl w:val="891A1890"/>
    <w:lvl w:ilvl="0" w:tplc="C38205E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F77A901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9951CC"/>
    <w:multiLevelType w:val="hybridMultilevel"/>
    <w:tmpl w:val="5BEA7642"/>
    <w:lvl w:ilvl="0" w:tplc="36B648DE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CE90B6A"/>
    <w:multiLevelType w:val="hybridMultilevel"/>
    <w:tmpl w:val="3B06B1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8623D"/>
    <w:multiLevelType w:val="hybridMultilevel"/>
    <w:tmpl w:val="15ACDD4E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D45115"/>
    <w:multiLevelType w:val="hybridMultilevel"/>
    <w:tmpl w:val="E17E27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BB0DED"/>
    <w:multiLevelType w:val="hybridMultilevel"/>
    <w:tmpl w:val="9D2E70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C4352"/>
    <w:multiLevelType w:val="hybridMultilevel"/>
    <w:tmpl w:val="E0CEE5D0"/>
    <w:lvl w:ilvl="0" w:tplc="E0827F2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F77A901A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3E7327"/>
    <w:multiLevelType w:val="hybridMultilevel"/>
    <w:tmpl w:val="00CE1A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2A7A56"/>
    <w:multiLevelType w:val="hybridMultilevel"/>
    <w:tmpl w:val="DE7CFE6C"/>
    <w:lvl w:ilvl="0" w:tplc="0D76B9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CA10D0"/>
    <w:multiLevelType w:val="hybridMultilevel"/>
    <w:tmpl w:val="49C6A1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815D05"/>
    <w:multiLevelType w:val="hybridMultilevel"/>
    <w:tmpl w:val="8F4E33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890793"/>
    <w:multiLevelType w:val="hybridMultilevel"/>
    <w:tmpl w:val="65B8E0E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33091CAC"/>
    <w:multiLevelType w:val="hybridMultilevel"/>
    <w:tmpl w:val="58869D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C66DFA"/>
    <w:multiLevelType w:val="hybridMultilevel"/>
    <w:tmpl w:val="C85282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14E0F6E"/>
    <w:multiLevelType w:val="hybridMultilevel"/>
    <w:tmpl w:val="0DE21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5067C"/>
    <w:multiLevelType w:val="hybridMultilevel"/>
    <w:tmpl w:val="F50ED12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49A32AB0"/>
    <w:multiLevelType w:val="hybridMultilevel"/>
    <w:tmpl w:val="893E80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CB450C"/>
    <w:multiLevelType w:val="hybridMultilevel"/>
    <w:tmpl w:val="F4FAB5E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89383F"/>
    <w:multiLevelType w:val="hybridMultilevel"/>
    <w:tmpl w:val="33EC56A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DC721D"/>
    <w:multiLevelType w:val="hybridMultilevel"/>
    <w:tmpl w:val="F6CED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6F7876"/>
    <w:multiLevelType w:val="hybridMultilevel"/>
    <w:tmpl w:val="ABB279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5939EA"/>
    <w:multiLevelType w:val="hybridMultilevel"/>
    <w:tmpl w:val="119C10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505793"/>
    <w:multiLevelType w:val="hybridMultilevel"/>
    <w:tmpl w:val="AEB01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FB4CA5"/>
    <w:multiLevelType w:val="hybridMultilevel"/>
    <w:tmpl w:val="A538CB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011848"/>
    <w:multiLevelType w:val="hybridMultilevel"/>
    <w:tmpl w:val="86EED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A77DB7"/>
    <w:multiLevelType w:val="hybridMultilevel"/>
    <w:tmpl w:val="6F80F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26"/>
  </w:num>
  <w:num w:numId="4">
    <w:abstractNumId w:val="2"/>
  </w:num>
  <w:num w:numId="5">
    <w:abstractNumId w:val="8"/>
  </w:num>
  <w:num w:numId="6">
    <w:abstractNumId w:val="11"/>
  </w:num>
  <w:num w:numId="7">
    <w:abstractNumId w:val="5"/>
  </w:num>
  <w:num w:numId="8">
    <w:abstractNumId w:val="15"/>
  </w:num>
  <w:num w:numId="9">
    <w:abstractNumId w:val="9"/>
  </w:num>
  <w:num w:numId="10">
    <w:abstractNumId w:val="25"/>
  </w:num>
  <w:num w:numId="11">
    <w:abstractNumId w:val="22"/>
  </w:num>
  <w:num w:numId="12">
    <w:abstractNumId w:val="19"/>
  </w:num>
  <w:num w:numId="13">
    <w:abstractNumId w:val="21"/>
  </w:num>
  <w:num w:numId="14">
    <w:abstractNumId w:val="10"/>
  </w:num>
  <w:num w:numId="15">
    <w:abstractNumId w:val="4"/>
  </w:num>
  <w:num w:numId="16">
    <w:abstractNumId w:val="6"/>
  </w:num>
  <w:num w:numId="17">
    <w:abstractNumId w:val="12"/>
  </w:num>
  <w:num w:numId="18">
    <w:abstractNumId w:val="24"/>
  </w:num>
  <w:num w:numId="19">
    <w:abstractNumId w:val="7"/>
  </w:num>
  <w:num w:numId="20">
    <w:abstractNumId w:val="1"/>
  </w:num>
  <w:num w:numId="21">
    <w:abstractNumId w:val="29"/>
  </w:num>
  <w:num w:numId="22">
    <w:abstractNumId w:val="13"/>
  </w:num>
  <w:num w:numId="23">
    <w:abstractNumId w:val="23"/>
  </w:num>
  <w:num w:numId="24">
    <w:abstractNumId w:val="3"/>
  </w:num>
  <w:num w:numId="25">
    <w:abstractNumId w:val="16"/>
  </w:num>
  <w:num w:numId="26">
    <w:abstractNumId w:val="20"/>
  </w:num>
  <w:num w:numId="27">
    <w:abstractNumId w:val="30"/>
  </w:num>
  <w:num w:numId="28">
    <w:abstractNumId w:val="17"/>
  </w:num>
  <w:num w:numId="29">
    <w:abstractNumId w:val="27"/>
  </w:num>
  <w:num w:numId="30">
    <w:abstractNumId w:val="28"/>
  </w:num>
  <w:num w:numId="31">
    <w:abstractNumId w:val="1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075"/>
    <w:rsid w:val="00034B8E"/>
    <w:rsid w:val="00050ACD"/>
    <w:rsid w:val="00053FA7"/>
    <w:rsid w:val="00066FB1"/>
    <w:rsid w:val="00074E7F"/>
    <w:rsid w:val="0008029E"/>
    <w:rsid w:val="00095649"/>
    <w:rsid w:val="000F4927"/>
    <w:rsid w:val="000F53CE"/>
    <w:rsid w:val="00102830"/>
    <w:rsid w:val="00106800"/>
    <w:rsid w:val="00132B88"/>
    <w:rsid w:val="0013694B"/>
    <w:rsid w:val="00142B74"/>
    <w:rsid w:val="00152529"/>
    <w:rsid w:val="00164498"/>
    <w:rsid w:val="0017671A"/>
    <w:rsid w:val="001836B5"/>
    <w:rsid w:val="00197DCA"/>
    <w:rsid w:val="001B05AA"/>
    <w:rsid w:val="001B2B1C"/>
    <w:rsid w:val="001F6587"/>
    <w:rsid w:val="002077BD"/>
    <w:rsid w:val="002103AF"/>
    <w:rsid w:val="00214679"/>
    <w:rsid w:val="00223E0C"/>
    <w:rsid w:val="00226892"/>
    <w:rsid w:val="00233AB6"/>
    <w:rsid w:val="002575EB"/>
    <w:rsid w:val="00267B43"/>
    <w:rsid w:val="002808A2"/>
    <w:rsid w:val="00282D65"/>
    <w:rsid w:val="002840EE"/>
    <w:rsid w:val="00294B41"/>
    <w:rsid w:val="002960D5"/>
    <w:rsid w:val="002A2000"/>
    <w:rsid w:val="002A29A3"/>
    <w:rsid w:val="002C535B"/>
    <w:rsid w:val="002F1A30"/>
    <w:rsid w:val="003006BB"/>
    <w:rsid w:val="003062CB"/>
    <w:rsid w:val="00316C40"/>
    <w:rsid w:val="003321A5"/>
    <w:rsid w:val="003345D4"/>
    <w:rsid w:val="003359AF"/>
    <w:rsid w:val="00366356"/>
    <w:rsid w:val="0036741A"/>
    <w:rsid w:val="003A5114"/>
    <w:rsid w:val="003C0332"/>
    <w:rsid w:val="003E1EA2"/>
    <w:rsid w:val="003E7ACE"/>
    <w:rsid w:val="003F67D1"/>
    <w:rsid w:val="0040428F"/>
    <w:rsid w:val="00406090"/>
    <w:rsid w:val="00423B72"/>
    <w:rsid w:val="00425BD7"/>
    <w:rsid w:val="00431045"/>
    <w:rsid w:val="00437D43"/>
    <w:rsid w:val="00451F97"/>
    <w:rsid w:val="00454354"/>
    <w:rsid w:val="00455ABE"/>
    <w:rsid w:val="00465318"/>
    <w:rsid w:val="00465AB5"/>
    <w:rsid w:val="00465B6C"/>
    <w:rsid w:val="00467DB8"/>
    <w:rsid w:val="004852F9"/>
    <w:rsid w:val="00496D3F"/>
    <w:rsid w:val="004C4506"/>
    <w:rsid w:val="004C6C3D"/>
    <w:rsid w:val="004D2757"/>
    <w:rsid w:val="004F7B9F"/>
    <w:rsid w:val="00502095"/>
    <w:rsid w:val="005053EC"/>
    <w:rsid w:val="0051233B"/>
    <w:rsid w:val="00513607"/>
    <w:rsid w:val="00543B63"/>
    <w:rsid w:val="005611F4"/>
    <w:rsid w:val="00586E68"/>
    <w:rsid w:val="0058705F"/>
    <w:rsid w:val="005C30B4"/>
    <w:rsid w:val="005D311B"/>
    <w:rsid w:val="005D426F"/>
    <w:rsid w:val="005D533E"/>
    <w:rsid w:val="005D6155"/>
    <w:rsid w:val="005E228D"/>
    <w:rsid w:val="005F1829"/>
    <w:rsid w:val="005F6E07"/>
    <w:rsid w:val="0060645B"/>
    <w:rsid w:val="00636423"/>
    <w:rsid w:val="0064528C"/>
    <w:rsid w:val="00646A3E"/>
    <w:rsid w:val="00661F31"/>
    <w:rsid w:val="00683D8F"/>
    <w:rsid w:val="006946D1"/>
    <w:rsid w:val="006D7762"/>
    <w:rsid w:val="006E279E"/>
    <w:rsid w:val="006F5CE1"/>
    <w:rsid w:val="00701582"/>
    <w:rsid w:val="00705B3B"/>
    <w:rsid w:val="00706F7B"/>
    <w:rsid w:val="00711215"/>
    <w:rsid w:val="00714840"/>
    <w:rsid w:val="00723A27"/>
    <w:rsid w:val="00723F80"/>
    <w:rsid w:val="00727DFA"/>
    <w:rsid w:val="007307ED"/>
    <w:rsid w:val="00731CA1"/>
    <w:rsid w:val="00752D68"/>
    <w:rsid w:val="0075330A"/>
    <w:rsid w:val="00756A24"/>
    <w:rsid w:val="00766F45"/>
    <w:rsid w:val="007822F8"/>
    <w:rsid w:val="00790191"/>
    <w:rsid w:val="007A120C"/>
    <w:rsid w:val="007A2014"/>
    <w:rsid w:val="007A24D6"/>
    <w:rsid w:val="007A5ED2"/>
    <w:rsid w:val="007B1D95"/>
    <w:rsid w:val="007B34F3"/>
    <w:rsid w:val="007D5A8B"/>
    <w:rsid w:val="00815255"/>
    <w:rsid w:val="00834508"/>
    <w:rsid w:val="00836C82"/>
    <w:rsid w:val="008425A6"/>
    <w:rsid w:val="00855F0A"/>
    <w:rsid w:val="00855F85"/>
    <w:rsid w:val="00872033"/>
    <w:rsid w:val="008840AA"/>
    <w:rsid w:val="00885CD9"/>
    <w:rsid w:val="008A367C"/>
    <w:rsid w:val="008A4720"/>
    <w:rsid w:val="008C351C"/>
    <w:rsid w:val="008E7B5B"/>
    <w:rsid w:val="009162D2"/>
    <w:rsid w:val="00943C27"/>
    <w:rsid w:val="009560A3"/>
    <w:rsid w:val="00974F05"/>
    <w:rsid w:val="00977A57"/>
    <w:rsid w:val="00987021"/>
    <w:rsid w:val="00987660"/>
    <w:rsid w:val="009A1B37"/>
    <w:rsid w:val="009B1D7D"/>
    <w:rsid w:val="009C7CC9"/>
    <w:rsid w:val="009D26A0"/>
    <w:rsid w:val="009E685A"/>
    <w:rsid w:val="009F2594"/>
    <w:rsid w:val="00A0578D"/>
    <w:rsid w:val="00A14D47"/>
    <w:rsid w:val="00A16BCF"/>
    <w:rsid w:val="00A45FB9"/>
    <w:rsid w:val="00A52169"/>
    <w:rsid w:val="00A62847"/>
    <w:rsid w:val="00A81034"/>
    <w:rsid w:val="00A936AD"/>
    <w:rsid w:val="00AC7C6D"/>
    <w:rsid w:val="00AD5E18"/>
    <w:rsid w:val="00AF3C09"/>
    <w:rsid w:val="00B00E16"/>
    <w:rsid w:val="00B11779"/>
    <w:rsid w:val="00B35326"/>
    <w:rsid w:val="00B4135E"/>
    <w:rsid w:val="00B4174A"/>
    <w:rsid w:val="00B709F7"/>
    <w:rsid w:val="00B83432"/>
    <w:rsid w:val="00B97F90"/>
    <w:rsid w:val="00BA6A47"/>
    <w:rsid w:val="00BB3051"/>
    <w:rsid w:val="00BB7075"/>
    <w:rsid w:val="00BB7CE9"/>
    <w:rsid w:val="00BC06E9"/>
    <w:rsid w:val="00BC5C7B"/>
    <w:rsid w:val="00BF04E5"/>
    <w:rsid w:val="00C00629"/>
    <w:rsid w:val="00C03171"/>
    <w:rsid w:val="00C246EC"/>
    <w:rsid w:val="00C34B14"/>
    <w:rsid w:val="00C4039E"/>
    <w:rsid w:val="00C41EBE"/>
    <w:rsid w:val="00C50868"/>
    <w:rsid w:val="00C53DF8"/>
    <w:rsid w:val="00C62B48"/>
    <w:rsid w:val="00C6764A"/>
    <w:rsid w:val="00C7759C"/>
    <w:rsid w:val="00C941A0"/>
    <w:rsid w:val="00CB7374"/>
    <w:rsid w:val="00CC4E04"/>
    <w:rsid w:val="00CE1517"/>
    <w:rsid w:val="00D10EDD"/>
    <w:rsid w:val="00D21EAB"/>
    <w:rsid w:val="00D277B4"/>
    <w:rsid w:val="00D81C30"/>
    <w:rsid w:val="00D9171E"/>
    <w:rsid w:val="00DA4E64"/>
    <w:rsid w:val="00DB2A58"/>
    <w:rsid w:val="00DD33EE"/>
    <w:rsid w:val="00DF4087"/>
    <w:rsid w:val="00E03027"/>
    <w:rsid w:val="00E132C1"/>
    <w:rsid w:val="00E13C9B"/>
    <w:rsid w:val="00E30D81"/>
    <w:rsid w:val="00E607B8"/>
    <w:rsid w:val="00E71021"/>
    <w:rsid w:val="00E77011"/>
    <w:rsid w:val="00E92D33"/>
    <w:rsid w:val="00E96E26"/>
    <w:rsid w:val="00E97D29"/>
    <w:rsid w:val="00EA26AA"/>
    <w:rsid w:val="00ED22FE"/>
    <w:rsid w:val="00EE2933"/>
    <w:rsid w:val="00EE39F8"/>
    <w:rsid w:val="00EF40ED"/>
    <w:rsid w:val="00F14780"/>
    <w:rsid w:val="00F435DF"/>
    <w:rsid w:val="00F735E1"/>
    <w:rsid w:val="00F812F0"/>
    <w:rsid w:val="00F93C18"/>
    <w:rsid w:val="00FB08A5"/>
    <w:rsid w:val="00FC057C"/>
    <w:rsid w:val="00FC21B8"/>
    <w:rsid w:val="00FC4CBB"/>
    <w:rsid w:val="00FD6A48"/>
    <w:rsid w:val="00FD7E9B"/>
    <w:rsid w:val="00FE0B34"/>
    <w:rsid w:val="00FE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2B42405-01ED-4726-AC98-694AE96A5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7075"/>
    <w:pPr>
      <w:suppressAutoHyphens/>
      <w:spacing w:after="200" w:line="276" w:lineRule="auto"/>
    </w:pPr>
    <w:rPr>
      <w:rFonts w:eastAsia="SimSun"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B7075"/>
  </w:style>
  <w:style w:type="paragraph" w:styleId="Tekstdymka">
    <w:name w:val="Balloon Text"/>
    <w:basedOn w:val="Normalny"/>
    <w:link w:val="TekstdymkaZnak"/>
    <w:uiPriority w:val="99"/>
    <w:semiHidden/>
    <w:rsid w:val="00233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33AB6"/>
    <w:rPr>
      <w:rFonts w:ascii="Tahoma" w:eastAsia="SimSun" w:hAnsi="Tahoma" w:cs="Tahoma"/>
      <w:kern w:val="1"/>
      <w:sz w:val="16"/>
      <w:szCs w:val="16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6E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6EC"/>
    <w:rPr>
      <w:rFonts w:eastAsia="SimSun" w:cs="Calibri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6E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C4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4506"/>
    <w:rPr>
      <w:rFonts w:eastAsia="SimSun" w:cs="Calibri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C4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4506"/>
    <w:rPr>
      <w:rFonts w:eastAsia="SimSun" w:cs="Calibri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5DF21-FD9A-4138-A746-049E025E5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2083</Words>
  <Characters>12500</Characters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2015-10-28T10:35:00Z</cp:lastPrinted>
  <dcterms:created xsi:type="dcterms:W3CDTF">2015-06-10T12:03:00Z</dcterms:created>
  <dcterms:modified xsi:type="dcterms:W3CDTF">2016-06-20T11:33:00Z</dcterms:modified>
</cp:coreProperties>
</file>